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2E42" w14:textId="77777777" w:rsidR="002E0B9C" w:rsidRPr="006662B1" w:rsidRDefault="00000000" w:rsidP="008F63B9">
      <w:pPr>
        <w:rPr>
          <w:rFonts w:ascii="Verdana" w:hAnsi="Verdana"/>
          <w:b/>
          <w:color w:val="A6093D"/>
          <w:sz w:val="28"/>
          <w:szCs w:val="28"/>
        </w:rPr>
      </w:pPr>
      <w:r w:rsidRPr="006662B1">
        <w:rPr>
          <w:rFonts w:ascii="Verdana" w:hAnsi="Verdana"/>
          <w:b/>
          <w:color w:val="A6093D"/>
          <w:sz w:val="28"/>
          <w:szCs w:val="28"/>
        </w:rPr>
        <w:t>Information</w:t>
      </w:r>
      <w:r w:rsidRPr="006662B1">
        <w:rPr>
          <w:sz w:val="28"/>
          <w:szCs w:val="28"/>
        </w:rPr>
        <w:t xml:space="preserve"> </w:t>
      </w:r>
      <w:r w:rsidR="00315FA9" w:rsidRPr="006662B1">
        <w:rPr>
          <w:rFonts w:ascii="Verdana" w:hAnsi="Verdana"/>
          <w:b/>
          <w:color w:val="A6093D"/>
          <w:sz w:val="28"/>
          <w:szCs w:val="28"/>
        </w:rPr>
        <w:t>om</w:t>
      </w:r>
      <w:r w:rsidRPr="006662B1">
        <w:rPr>
          <w:rFonts w:ascii="Verdana" w:hAnsi="Verdana"/>
          <w:b/>
          <w:color w:val="A6093D"/>
          <w:sz w:val="28"/>
          <w:szCs w:val="28"/>
        </w:rPr>
        <w:t xml:space="preserve"> spärr av patientjournal </w:t>
      </w:r>
    </w:p>
    <w:p w14:paraId="71AA6C9F" w14:textId="77777777" w:rsidR="002E0B9C" w:rsidRPr="006662B1" w:rsidRDefault="002E0B9C" w:rsidP="002E0B9C">
      <w:pPr>
        <w:rPr>
          <w:rFonts w:ascii="Verdana" w:hAnsi="Verdana"/>
          <w:b/>
          <w:color w:val="A6093D"/>
        </w:rPr>
      </w:pPr>
    </w:p>
    <w:p w14:paraId="4D8E02DC" w14:textId="77777777" w:rsidR="000F0F44" w:rsidRPr="006662B1" w:rsidRDefault="000F0F44">
      <w:pPr>
        <w:rPr>
          <w:kern w:val="2"/>
          <w:szCs w:val="24"/>
          <w:lang w:eastAsia="sv-SE"/>
          <w14:ligatures w14:val="standardContextual"/>
        </w:rPr>
      </w:pPr>
      <w:r w:rsidRPr="006662B1">
        <w:rPr>
          <w:rFonts w:ascii="Century Schoolbook" w:hAnsi="Century Schoolbook"/>
        </w:rPr>
        <w:t>Ibland behöver vården kunna se journaluppgifter från andra vårdgivare. Det kan göras via NPÖ (Nationell patientöversikt), vilket är en nationell tjänst för sammanhållen journalföring (dvs. att journaluppgifter kan delas mellan vårdgivare). Vårdpersonal hos en annan vårdgivare får då ta del av dina uppgifter om du samtycker och om personalen deltar i din vård.</w:t>
      </w:r>
    </w:p>
    <w:p w14:paraId="0FB2139F" w14:textId="77777777" w:rsidR="004A38ED" w:rsidRPr="006662B1" w:rsidRDefault="004A38ED" w:rsidP="002E0B9C">
      <w:pPr>
        <w:rPr>
          <w:rFonts w:ascii="Century Schoolbook" w:hAnsi="Century Schoolbook"/>
          <w:szCs w:val="24"/>
        </w:rPr>
      </w:pPr>
    </w:p>
    <w:p w14:paraId="3DA772F5" w14:textId="77777777" w:rsidR="00EA6183" w:rsidRPr="006662B1" w:rsidRDefault="00000000" w:rsidP="002E0B9C">
      <w:pPr>
        <w:rPr>
          <w:rFonts w:ascii="Century Schoolbook" w:hAnsi="Century Schoolbook"/>
          <w:szCs w:val="24"/>
        </w:rPr>
      </w:pPr>
      <w:r w:rsidRPr="006662B1">
        <w:rPr>
          <w:rFonts w:ascii="Century Schoolbook" w:hAnsi="Century Schoolbook"/>
          <w:szCs w:val="24"/>
        </w:rPr>
        <w:t xml:space="preserve">Syftet med att dela journalinformation </w:t>
      </w:r>
      <w:r w:rsidR="00D61609" w:rsidRPr="006662B1">
        <w:rPr>
          <w:rFonts w:ascii="Century Schoolbook" w:hAnsi="Century Schoolbook"/>
          <w:szCs w:val="24"/>
        </w:rPr>
        <w:t xml:space="preserve">vårdgivare emellan </w:t>
      </w:r>
      <w:r w:rsidRPr="006662B1">
        <w:rPr>
          <w:rFonts w:ascii="Century Schoolbook" w:hAnsi="Century Schoolbook"/>
          <w:szCs w:val="24"/>
        </w:rPr>
        <w:t xml:space="preserve">är att </w:t>
      </w:r>
      <w:r w:rsidR="00A72C91" w:rsidRPr="006662B1">
        <w:rPr>
          <w:rFonts w:ascii="Century Schoolbook" w:hAnsi="Century Schoolbook"/>
          <w:szCs w:val="24"/>
        </w:rPr>
        <w:t>ge</w:t>
      </w:r>
      <w:r w:rsidRPr="006662B1">
        <w:rPr>
          <w:rFonts w:ascii="Century Schoolbook" w:hAnsi="Century Schoolbook"/>
          <w:szCs w:val="24"/>
        </w:rPr>
        <w:t xml:space="preserve"> en så god och säker vård som möjligt</w:t>
      </w:r>
      <w:r w:rsidR="00AD64F0" w:rsidRPr="006662B1">
        <w:rPr>
          <w:rFonts w:ascii="Century Schoolbook" w:hAnsi="Century Schoolbook"/>
          <w:szCs w:val="24"/>
        </w:rPr>
        <w:t>,</w:t>
      </w:r>
      <w:r w:rsidRPr="006662B1">
        <w:rPr>
          <w:rFonts w:ascii="Century Schoolbook" w:hAnsi="Century Schoolbook"/>
          <w:szCs w:val="24"/>
        </w:rPr>
        <w:t xml:space="preserve"> för att behandlande läkare ska kunna få en bättre bild över din vård</w:t>
      </w:r>
      <w:r w:rsidR="00E53E23" w:rsidRPr="006662B1">
        <w:rPr>
          <w:rFonts w:ascii="Century Schoolbook" w:hAnsi="Century Schoolbook"/>
          <w:szCs w:val="24"/>
        </w:rPr>
        <w:t>historik, tidigare behandlingar, provsvar samt för att underlätta samordning av vårdinsatser.</w:t>
      </w:r>
    </w:p>
    <w:p w14:paraId="5BF203AF" w14:textId="77777777" w:rsidR="004A38ED" w:rsidRPr="006662B1" w:rsidRDefault="004A38ED" w:rsidP="004A38ED">
      <w:pPr>
        <w:pStyle w:val="Ingetavstnd"/>
        <w:rPr>
          <w:szCs w:val="24"/>
        </w:rPr>
      </w:pPr>
    </w:p>
    <w:p w14:paraId="53CA355D" w14:textId="77777777" w:rsidR="004129BF" w:rsidRPr="006662B1" w:rsidRDefault="004129BF" w:rsidP="004129BF">
      <w:pPr>
        <w:pStyle w:val="Ingetavstnd"/>
        <w:rPr>
          <w:rFonts w:ascii="Century Schoolbook" w:hAnsi="Century Schoolbook"/>
          <w:szCs w:val="24"/>
        </w:rPr>
      </w:pPr>
      <w:r w:rsidRPr="006662B1">
        <w:rPr>
          <w:rFonts w:ascii="Century Schoolbook" w:hAnsi="Century Schoolbook"/>
          <w:szCs w:val="24"/>
        </w:rPr>
        <w:t>Uppgifterna i din journal skyddas enligt lag av tystnadsplikt och sekretess. Det innebär att vårdpersonal inte får lämna ut uppgifter om dig eller innehållet i din journal, och att de endast har tillgång till journalen utifrån tilldelad behörighet. I vissa lagstadgade undantagsfall kan uppgifter ändå lämnas ut, till exempel till myndigheter eller vid misstanke om allvarliga brott.</w:t>
      </w:r>
    </w:p>
    <w:p w14:paraId="60A0C790" w14:textId="77777777" w:rsidR="00EA6183" w:rsidRPr="006662B1" w:rsidRDefault="00EA6183" w:rsidP="002E0B9C">
      <w:pPr>
        <w:rPr>
          <w:rFonts w:ascii="Century Schoolbook" w:hAnsi="Century Schoolbook"/>
          <w:szCs w:val="24"/>
        </w:rPr>
      </w:pPr>
    </w:p>
    <w:p w14:paraId="0421927E" w14:textId="77777777" w:rsidR="00E44547" w:rsidRPr="006662B1" w:rsidRDefault="00E44547">
      <w:pPr>
        <w:rPr>
          <w:kern w:val="2"/>
          <w:szCs w:val="24"/>
          <w:lang w:eastAsia="sv-SE"/>
          <w14:ligatures w14:val="standardContextual"/>
        </w:rPr>
      </w:pPr>
      <w:r w:rsidRPr="006662B1">
        <w:rPr>
          <w:rFonts w:ascii="Century Schoolbook" w:hAnsi="Century Schoolbook"/>
        </w:rPr>
        <w:t>Som patient har du rätt att spärra dina journaluppgifter mellan olika vårdgivare. Att spärra en journal är som att lägga en skyddande ring runt den eller de vårdenheter eller vårdgivare som du väljer ut. Endast personal innanför ringen kan då ta del av din spärrade journal. Om du spärrat din journal måste du själv berätta för vårdpersonal utanför ringen sådant som de behöver veta för att kunna ge dig en god och säker vård. I vissa situationer kan du lämna samtycke till att spärrade uppgifter görs tillgängliga, till exempel i samband med vårdkontakt.</w:t>
      </w:r>
    </w:p>
    <w:p w14:paraId="21F52675" w14:textId="77777777" w:rsidR="00EA6183" w:rsidRPr="006662B1" w:rsidRDefault="00EA6183" w:rsidP="002E0B9C">
      <w:pPr>
        <w:rPr>
          <w:rFonts w:ascii="Century Schoolbook" w:hAnsi="Century Schoolbook"/>
          <w:szCs w:val="24"/>
        </w:rPr>
      </w:pPr>
    </w:p>
    <w:p w14:paraId="54D10FD3" w14:textId="77777777" w:rsidR="002E0B9C" w:rsidRPr="006662B1" w:rsidRDefault="00000000" w:rsidP="002E0B9C">
      <w:pPr>
        <w:rPr>
          <w:rFonts w:ascii="Century Schoolbook" w:hAnsi="Century Schoolbook"/>
          <w:szCs w:val="24"/>
        </w:rPr>
      </w:pPr>
      <w:r w:rsidRPr="006662B1">
        <w:rPr>
          <w:rFonts w:ascii="Century Schoolbook" w:hAnsi="Century Schoolbook"/>
          <w:szCs w:val="24"/>
        </w:rPr>
        <w:t>Det f</w:t>
      </w:r>
      <w:r w:rsidR="0045071E" w:rsidRPr="006662B1">
        <w:rPr>
          <w:rFonts w:ascii="Century Schoolbook" w:hAnsi="Century Schoolbook"/>
          <w:szCs w:val="24"/>
        </w:rPr>
        <w:t>inns två olika typer av spärrar:</w:t>
      </w:r>
    </w:p>
    <w:p w14:paraId="7358E9C4" w14:textId="0D13F591" w:rsidR="002E0B9C" w:rsidRPr="006662B1" w:rsidRDefault="00000000" w:rsidP="009C68E6">
      <w:pPr>
        <w:pStyle w:val="Liststycke"/>
        <w:numPr>
          <w:ilvl w:val="0"/>
          <w:numId w:val="2"/>
        </w:numPr>
        <w:rPr>
          <w:rFonts w:ascii="Century Schoolbook" w:hAnsi="Century Schoolbook"/>
          <w:szCs w:val="24"/>
        </w:rPr>
      </w:pPr>
      <w:r w:rsidRPr="006662B1">
        <w:rPr>
          <w:rFonts w:ascii="Century Schoolbook" w:hAnsi="Century Schoolbook"/>
          <w:szCs w:val="24"/>
        </w:rPr>
        <w:t xml:space="preserve">Yttre spärr = </w:t>
      </w:r>
      <w:r w:rsidR="004700A4" w:rsidRPr="006662B1">
        <w:rPr>
          <w:rFonts w:ascii="Century Schoolbook" w:hAnsi="Century Schoolbook"/>
          <w:szCs w:val="24"/>
        </w:rPr>
        <w:t>V</w:t>
      </w:r>
      <w:r w:rsidRPr="006662B1">
        <w:rPr>
          <w:rFonts w:ascii="Century Schoolbook" w:hAnsi="Century Schoolbook"/>
          <w:szCs w:val="24"/>
        </w:rPr>
        <w:t xml:space="preserve">årdgivare – </w:t>
      </w:r>
      <w:r w:rsidR="004700A4" w:rsidRPr="006662B1">
        <w:rPr>
          <w:rFonts w:ascii="Century Schoolbook" w:hAnsi="Century Schoolbook"/>
          <w:szCs w:val="24"/>
        </w:rPr>
        <w:t xml:space="preserve">andra vårdgivare så som </w:t>
      </w:r>
      <w:r w:rsidRPr="006662B1">
        <w:rPr>
          <w:rFonts w:ascii="Century Schoolbook" w:hAnsi="Century Schoolbook"/>
          <w:szCs w:val="24"/>
        </w:rPr>
        <w:t xml:space="preserve">regioner, kommuner, </w:t>
      </w:r>
      <w:r w:rsidR="004700A4" w:rsidRPr="006662B1">
        <w:rPr>
          <w:rFonts w:ascii="Century Schoolbook" w:hAnsi="Century Schoolbook"/>
          <w:szCs w:val="24"/>
        </w:rPr>
        <w:t xml:space="preserve">andra </w:t>
      </w:r>
      <w:r w:rsidRPr="006662B1">
        <w:rPr>
          <w:rFonts w:ascii="Century Schoolbook" w:hAnsi="Century Schoolbook"/>
          <w:szCs w:val="24"/>
        </w:rPr>
        <w:t xml:space="preserve">privata vårdaktörer </w:t>
      </w:r>
    </w:p>
    <w:p w14:paraId="350CF56C" w14:textId="231C3B19" w:rsidR="002E0B9C" w:rsidRPr="006662B1" w:rsidRDefault="00000000" w:rsidP="009C68E6">
      <w:pPr>
        <w:pStyle w:val="Liststycke"/>
        <w:numPr>
          <w:ilvl w:val="0"/>
          <w:numId w:val="2"/>
        </w:numPr>
        <w:rPr>
          <w:rFonts w:ascii="Century Schoolbook" w:hAnsi="Century Schoolbook"/>
          <w:szCs w:val="24"/>
        </w:rPr>
      </w:pPr>
      <w:r w:rsidRPr="006662B1">
        <w:rPr>
          <w:rFonts w:ascii="Century Schoolbook" w:hAnsi="Century Schoolbook"/>
          <w:szCs w:val="24"/>
        </w:rPr>
        <w:t xml:space="preserve">Inre spärr = Vårdenhet – </w:t>
      </w:r>
      <w:r w:rsidR="004700A4" w:rsidRPr="006662B1">
        <w:rPr>
          <w:rFonts w:ascii="Century Schoolbook" w:hAnsi="Century Schoolbook"/>
          <w:szCs w:val="24"/>
        </w:rPr>
        <w:t xml:space="preserve">spärr </w:t>
      </w:r>
      <w:r w:rsidR="00694088" w:rsidRPr="006662B1">
        <w:rPr>
          <w:rFonts w:ascii="Century Schoolbook" w:hAnsi="Century Schoolbook"/>
          <w:szCs w:val="24"/>
        </w:rPr>
        <w:t>inom Stiftelsen Carlanderska Sjukhuset</w:t>
      </w:r>
      <w:r w:rsidR="00667DE0" w:rsidRPr="006662B1">
        <w:rPr>
          <w:rFonts w:ascii="Century Schoolbook" w:hAnsi="Century Schoolbook"/>
          <w:szCs w:val="24"/>
        </w:rPr>
        <w:t>.</w:t>
      </w:r>
      <w:r w:rsidR="004700A4" w:rsidRPr="006662B1">
        <w:rPr>
          <w:rFonts w:ascii="Century Schoolbook" w:hAnsi="Century Schoolbook"/>
          <w:szCs w:val="24"/>
        </w:rPr>
        <w:t xml:space="preserve"> </w:t>
      </w:r>
      <w:r w:rsidR="004700A4" w:rsidRPr="006662B1">
        <w:rPr>
          <w:rFonts w:ascii="Century Schoolbook" w:hAnsi="Century Schoolbook"/>
        </w:rPr>
        <w:t xml:space="preserve">Här begränsas åtkomsten till journalsystemet </w:t>
      </w:r>
      <w:r w:rsidR="00C03D94" w:rsidRPr="006662B1">
        <w:rPr>
          <w:rFonts w:ascii="Century Schoolbook" w:hAnsi="Century Schoolbook"/>
        </w:rPr>
        <w:t>till den/de</w:t>
      </w:r>
      <w:r w:rsidR="004700A4" w:rsidRPr="006662B1">
        <w:rPr>
          <w:rFonts w:ascii="Century Schoolbook" w:hAnsi="Century Schoolbook"/>
        </w:rPr>
        <w:t xml:space="preserve"> vårdenheter inom Stiftelsen Carlanderska Sjukhuset</w:t>
      </w:r>
      <w:r w:rsidR="00C03D94" w:rsidRPr="006662B1">
        <w:rPr>
          <w:rFonts w:ascii="Century Schoolbook" w:hAnsi="Century Schoolbook"/>
        </w:rPr>
        <w:t xml:space="preserve"> du lagt spärren på</w:t>
      </w:r>
      <w:r w:rsidR="004700A4" w:rsidRPr="006662B1">
        <w:rPr>
          <w:rFonts w:ascii="Century Schoolbook" w:hAnsi="Century Schoolbook"/>
        </w:rPr>
        <w:t>.</w:t>
      </w:r>
    </w:p>
    <w:p w14:paraId="4D2FF565" w14:textId="77777777" w:rsidR="002E0B9C" w:rsidRPr="006662B1" w:rsidRDefault="002E0B9C" w:rsidP="002E0B9C">
      <w:pPr>
        <w:rPr>
          <w:rFonts w:ascii="Century Schoolbook" w:hAnsi="Century Schoolbook"/>
          <w:szCs w:val="24"/>
        </w:rPr>
      </w:pPr>
    </w:p>
    <w:p w14:paraId="3E79A0F8" w14:textId="77777777" w:rsidR="0056209A" w:rsidRPr="006662B1" w:rsidRDefault="0056209A">
      <w:pPr>
        <w:rPr>
          <w:kern w:val="2"/>
          <w:szCs w:val="24"/>
          <w:lang w:eastAsia="sv-SE"/>
          <w14:ligatures w14:val="standardContextual"/>
        </w:rPr>
      </w:pPr>
      <w:r w:rsidRPr="006662B1">
        <w:rPr>
          <w:rFonts w:ascii="Verdana" w:hAnsi="Verdana"/>
          <w:b/>
          <w:bCs/>
          <w:color w:val="54585A"/>
        </w:rPr>
        <w:t>Så spärrar du</w:t>
      </w:r>
    </w:p>
    <w:p w14:paraId="5875A46C" w14:textId="6FCCFED9" w:rsidR="000F0F44" w:rsidRPr="006662B1" w:rsidRDefault="000F0F44">
      <w:pPr>
        <w:rPr>
          <w:rFonts w:ascii="Century Schoolbook" w:hAnsi="Century Schoolbook"/>
        </w:rPr>
      </w:pPr>
      <w:r w:rsidRPr="006662B1">
        <w:rPr>
          <w:rFonts w:ascii="Century Schoolbook" w:hAnsi="Century Schoolbook"/>
        </w:rPr>
        <w:t>Kontakta oss om du vill lägga en spärr. Yttre spärr</w:t>
      </w:r>
      <w:r w:rsidRPr="006662B1">
        <w:rPr>
          <w:rFonts w:ascii="Century Schoolbook" w:hAnsi="Century Schoolbook"/>
          <w:b/>
          <w:bCs/>
        </w:rPr>
        <w:t xml:space="preserve"> </w:t>
      </w:r>
      <w:r w:rsidRPr="006662B1">
        <w:rPr>
          <w:rFonts w:ascii="Century Schoolbook" w:hAnsi="Century Schoolbook"/>
        </w:rPr>
        <w:t>och inre spärr</w:t>
      </w:r>
      <w:r w:rsidRPr="006662B1">
        <w:rPr>
          <w:rFonts w:ascii="Century Schoolbook" w:hAnsi="Century Schoolbook"/>
          <w:b/>
          <w:bCs/>
        </w:rPr>
        <w:t xml:space="preserve"> </w:t>
      </w:r>
      <w:r w:rsidRPr="006662B1">
        <w:rPr>
          <w:rFonts w:ascii="Century Schoolbook" w:hAnsi="Century Schoolbook"/>
        </w:rPr>
        <w:t>är två olika spärrar och kan behöva beställas var för sig – du kan välja en av dem eller båda.</w:t>
      </w:r>
    </w:p>
    <w:p w14:paraId="12526D52" w14:textId="77777777" w:rsidR="00955FB9" w:rsidRPr="006662B1" w:rsidRDefault="00955FB9" w:rsidP="00955FB9">
      <w:pPr>
        <w:pStyle w:val="Ingetavstnd"/>
      </w:pPr>
    </w:p>
    <w:p w14:paraId="3BE61DFA" w14:textId="70D78D0B" w:rsidR="00955FB9" w:rsidRPr="006662B1" w:rsidRDefault="00955FB9" w:rsidP="00955FB9">
      <w:pPr>
        <w:pStyle w:val="Ingetavstnd"/>
        <w:rPr>
          <w:rFonts w:ascii="Century Schoolbook" w:hAnsi="Century Schoolbook"/>
        </w:rPr>
      </w:pPr>
      <w:r w:rsidRPr="006662B1">
        <w:rPr>
          <w:rFonts w:ascii="Century Schoolbook" w:hAnsi="Century Schoolbook"/>
        </w:rPr>
        <w:t xml:space="preserve">För spärr </w:t>
      </w:r>
      <w:r w:rsidR="00780DDE" w:rsidRPr="006662B1">
        <w:rPr>
          <w:rFonts w:ascii="Century Schoolbook" w:hAnsi="Century Schoolbook"/>
        </w:rPr>
        <w:t xml:space="preserve">av journaluppgifter som finns </w:t>
      </w:r>
      <w:r w:rsidR="004700A4" w:rsidRPr="006662B1">
        <w:rPr>
          <w:rFonts w:ascii="Century Schoolbook" w:hAnsi="Century Schoolbook"/>
        </w:rPr>
        <w:t>hos</w:t>
      </w:r>
      <w:r w:rsidRPr="006662B1">
        <w:rPr>
          <w:rFonts w:ascii="Century Schoolbook" w:hAnsi="Century Schoolbook"/>
        </w:rPr>
        <w:t xml:space="preserve"> </w:t>
      </w:r>
      <w:r w:rsidR="00780DDE" w:rsidRPr="006662B1">
        <w:rPr>
          <w:rFonts w:ascii="Century Schoolbook" w:hAnsi="Century Schoolbook"/>
        </w:rPr>
        <w:t>någon av våra samarbetspartner i Carlanderska sjukhusets byggnad</w:t>
      </w:r>
      <w:r w:rsidRPr="006662B1">
        <w:rPr>
          <w:rFonts w:ascii="Century Schoolbook" w:hAnsi="Century Schoolbook"/>
        </w:rPr>
        <w:t xml:space="preserve"> </w:t>
      </w:r>
      <w:r w:rsidR="00780DDE" w:rsidRPr="006662B1">
        <w:rPr>
          <w:rFonts w:ascii="Century Schoolbook" w:hAnsi="Century Schoolbook"/>
        </w:rPr>
        <w:t xml:space="preserve">(utöver Stiftelsen Carlanderska sjukhuset) </w:t>
      </w:r>
      <w:r w:rsidRPr="006662B1">
        <w:rPr>
          <w:rFonts w:ascii="Century Schoolbook" w:hAnsi="Century Schoolbook"/>
        </w:rPr>
        <w:t>behöver kontakt</w:t>
      </w:r>
      <w:r w:rsidR="004700A4" w:rsidRPr="006662B1">
        <w:rPr>
          <w:rFonts w:ascii="Century Schoolbook" w:hAnsi="Century Schoolbook"/>
        </w:rPr>
        <w:t xml:space="preserve"> tas med dem</w:t>
      </w:r>
      <w:r w:rsidRPr="006662B1">
        <w:rPr>
          <w:rFonts w:ascii="Century Schoolbook" w:hAnsi="Century Schoolbook"/>
        </w:rPr>
        <w:t xml:space="preserve"> separat.</w:t>
      </w:r>
    </w:p>
    <w:p w14:paraId="0FC17B83" w14:textId="77777777" w:rsidR="000C2C4D" w:rsidRPr="006662B1" w:rsidRDefault="000C2C4D" w:rsidP="002E0B9C">
      <w:pPr>
        <w:rPr>
          <w:rFonts w:ascii="Verdana" w:hAnsi="Verdana"/>
          <w:b/>
          <w:color w:val="54585A"/>
        </w:rPr>
      </w:pPr>
    </w:p>
    <w:p w14:paraId="43E5F045" w14:textId="0294565A" w:rsidR="002E0B9C" w:rsidRPr="006662B1" w:rsidRDefault="00000000" w:rsidP="002E0B9C">
      <w:pPr>
        <w:rPr>
          <w:rFonts w:ascii="Verdana" w:hAnsi="Verdana"/>
          <w:b/>
          <w:color w:val="54585A"/>
        </w:rPr>
      </w:pPr>
      <w:r w:rsidRPr="006662B1">
        <w:rPr>
          <w:rFonts w:ascii="Verdana" w:hAnsi="Verdana"/>
          <w:b/>
          <w:color w:val="54585A"/>
        </w:rPr>
        <w:t xml:space="preserve">Yttre spärr </w:t>
      </w:r>
    </w:p>
    <w:p w14:paraId="673F52F7" w14:textId="77777777" w:rsidR="002E0B9C" w:rsidRPr="006662B1" w:rsidRDefault="00000000" w:rsidP="002E0B9C">
      <w:pPr>
        <w:rPr>
          <w:rFonts w:ascii="Century Schoolbook" w:hAnsi="Century Schoolbook"/>
          <w:szCs w:val="24"/>
        </w:rPr>
      </w:pPr>
      <w:r w:rsidRPr="006662B1">
        <w:rPr>
          <w:rFonts w:ascii="Century Schoolbook" w:hAnsi="Century Schoolbook"/>
          <w:szCs w:val="24"/>
        </w:rPr>
        <w:t xml:space="preserve">Den yttre spärren förhindrar att personal hos andra vårdgivare kan läsa innehållet i din journal. Den yttre spärren döljer </w:t>
      </w:r>
      <w:r w:rsidR="00FD0B51" w:rsidRPr="006662B1">
        <w:rPr>
          <w:rFonts w:ascii="Century Schoolbook" w:hAnsi="Century Schoolbook"/>
          <w:szCs w:val="24"/>
        </w:rPr>
        <w:t xml:space="preserve">alltså </w:t>
      </w:r>
      <w:r w:rsidRPr="006662B1">
        <w:rPr>
          <w:rFonts w:ascii="Century Schoolbook" w:hAnsi="Century Schoolbook"/>
          <w:szCs w:val="24"/>
        </w:rPr>
        <w:t>dina journaluppgifter för alla vårdgivare utanför Stiftelsen Carlanderska Sjukhuset men inte för enheterna inom Stiftelsen Carlanderska Sjukhuset.</w:t>
      </w:r>
      <w:r w:rsidR="0056522C" w:rsidRPr="006662B1">
        <w:rPr>
          <w:rFonts w:ascii="Century Schoolbook" w:hAnsi="Century Schoolbook"/>
          <w:szCs w:val="24"/>
        </w:rPr>
        <w:t xml:space="preserve"> </w:t>
      </w:r>
      <w:r w:rsidRPr="006662B1">
        <w:rPr>
          <w:rFonts w:ascii="Century Schoolbook" w:hAnsi="Century Schoolbook"/>
          <w:szCs w:val="24"/>
        </w:rPr>
        <w:t xml:space="preserve">Om du tex söker vård i Region Västra Götaland </w:t>
      </w:r>
      <w:r w:rsidRPr="006662B1">
        <w:rPr>
          <w:rFonts w:ascii="Century Schoolbook" w:hAnsi="Century Schoolbook"/>
          <w:szCs w:val="24"/>
        </w:rPr>
        <w:lastRenderedPageBreak/>
        <w:t xml:space="preserve">kan personalen där inte läsa </w:t>
      </w:r>
      <w:r w:rsidR="00315FA9" w:rsidRPr="006662B1">
        <w:rPr>
          <w:rFonts w:ascii="Century Schoolbook" w:hAnsi="Century Schoolbook"/>
          <w:szCs w:val="24"/>
        </w:rPr>
        <w:t>dina</w:t>
      </w:r>
      <w:r w:rsidRPr="006662B1">
        <w:rPr>
          <w:rFonts w:ascii="Century Schoolbook" w:hAnsi="Century Schoolbook"/>
          <w:szCs w:val="24"/>
        </w:rPr>
        <w:t xml:space="preserve"> journaler </w:t>
      </w:r>
      <w:r w:rsidR="00315FA9" w:rsidRPr="006662B1">
        <w:rPr>
          <w:rFonts w:ascii="Century Schoolbook" w:hAnsi="Century Schoolbook"/>
          <w:szCs w:val="24"/>
        </w:rPr>
        <w:t xml:space="preserve">som </w:t>
      </w:r>
      <w:r w:rsidRPr="006662B1">
        <w:rPr>
          <w:rFonts w:ascii="Century Schoolbook" w:hAnsi="Century Schoolbook"/>
          <w:szCs w:val="24"/>
        </w:rPr>
        <w:t xml:space="preserve">du har på Stiftelsen Carlanderska Sjukhuset. </w:t>
      </w:r>
    </w:p>
    <w:p w14:paraId="035ECE03" w14:textId="77777777" w:rsidR="00B8680A" w:rsidRPr="006662B1" w:rsidRDefault="00B8680A" w:rsidP="00B8680A">
      <w:pPr>
        <w:pStyle w:val="Ingetavstnd"/>
        <w:rPr>
          <w:szCs w:val="24"/>
        </w:rPr>
      </w:pPr>
    </w:p>
    <w:p w14:paraId="063C3D63" w14:textId="29DE5472" w:rsidR="000F0F44" w:rsidRPr="006662B1" w:rsidRDefault="000F0F44">
      <w:pPr>
        <w:rPr>
          <w:kern w:val="2"/>
          <w:szCs w:val="24"/>
          <w:lang w:eastAsia="sv-SE"/>
          <w14:ligatures w14:val="standardContextual"/>
        </w:rPr>
      </w:pPr>
      <w:r w:rsidRPr="006662B1">
        <w:rPr>
          <w:rFonts w:ascii="Verdana" w:hAnsi="Verdana"/>
          <w:b/>
          <w:bCs/>
          <w:color w:val="54585A"/>
        </w:rPr>
        <w:t>Inre spärr</w:t>
      </w:r>
      <w:r w:rsidRPr="006662B1">
        <w:rPr>
          <w:rFonts w:ascii="Century Schoolbook" w:hAnsi="Century Schoolbook"/>
        </w:rPr>
        <w:br/>
        <w:t>För att få en inre spärr väljer du ut en eller flera specifika vårdenheter där du vill spärra journalen. En inre spärr runt en vårdenhet begränsar åtkomsten till dina journaluppgifter för andra vårdenheter inom Stiftelsen Carlanderska Sjukhuset. Om du även vill spärra åtkomst för andra vårdgivare (t.ex. regioner eller privata vårdaktörer) behöver du begära en yttre spärr i NPÖ.</w:t>
      </w:r>
    </w:p>
    <w:p w14:paraId="6B334978" w14:textId="77777777" w:rsidR="00F97B19" w:rsidRPr="006662B1" w:rsidRDefault="00F97B19" w:rsidP="008209EA">
      <w:pPr>
        <w:pStyle w:val="Ingetavstnd"/>
        <w:rPr>
          <w:rFonts w:ascii="Century Schoolbook" w:hAnsi="Century Schoolbook"/>
          <w:szCs w:val="24"/>
        </w:rPr>
      </w:pPr>
    </w:p>
    <w:p w14:paraId="392FA718" w14:textId="77777777" w:rsidR="00835B12" w:rsidRPr="006662B1" w:rsidRDefault="00835B12">
      <w:pPr>
        <w:rPr>
          <w:kern w:val="2"/>
          <w:szCs w:val="24"/>
          <w:lang w:eastAsia="sv-SE"/>
          <w14:ligatures w14:val="standardContextual"/>
        </w:rPr>
      </w:pPr>
      <w:r w:rsidRPr="006662B1">
        <w:rPr>
          <w:rFonts w:ascii="Verdana" w:hAnsi="Verdana"/>
          <w:b/>
          <w:bCs/>
          <w:color w:val="54585A"/>
        </w:rPr>
        <w:t>Viktigt att veta vid spärr</w:t>
      </w:r>
    </w:p>
    <w:p w14:paraId="092076A9" w14:textId="77777777" w:rsidR="00835B12" w:rsidRPr="006662B1" w:rsidRDefault="00835B12">
      <w:pPr>
        <w:rPr>
          <w:kern w:val="2"/>
          <w:szCs w:val="24"/>
          <w:u w:val="single"/>
          <w:lang w:eastAsia="sv-SE"/>
          <w14:ligatures w14:val="standardContextual"/>
        </w:rPr>
      </w:pPr>
      <w:r w:rsidRPr="006662B1">
        <w:rPr>
          <w:rFonts w:ascii="Verdana" w:hAnsi="Verdana"/>
          <w:color w:val="54585A"/>
          <w:u w:val="single"/>
        </w:rPr>
        <w:t>Läkemedel och överkänslighet</w:t>
      </w:r>
    </w:p>
    <w:p w14:paraId="6BD37FEF" w14:textId="77777777" w:rsidR="00746C3D" w:rsidRPr="006662B1" w:rsidRDefault="00000000" w:rsidP="008209EA">
      <w:pPr>
        <w:pStyle w:val="Ingetavstnd"/>
        <w:rPr>
          <w:rFonts w:ascii="Century Schoolbook" w:hAnsi="Century Schoolbook"/>
          <w:szCs w:val="24"/>
        </w:rPr>
      </w:pPr>
      <w:r w:rsidRPr="006662B1">
        <w:rPr>
          <w:rFonts w:ascii="Century Schoolbook" w:hAnsi="Century Schoolbook"/>
          <w:szCs w:val="24"/>
        </w:rPr>
        <w:t>Du kan välja om information om läkemedel och överkänslighet ska visas trots att du spärrat journalen.</w:t>
      </w:r>
      <w:r w:rsidR="001152A4" w:rsidRPr="006662B1">
        <w:rPr>
          <w:rFonts w:ascii="Century Schoolbook" w:hAnsi="Century Schoolbook"/>
          <w:szCs w:val="24"/>
        </w:rPr>
        <w:t xml:space="preserve"> Det kan vara av</w:t>
      </w:r>
      <w:r w:rsidR="008B08C6" w:rsidRPr="006662B1">
        <w:rPr>
          <w:rFonts w:ascii="Century Schoolbook" w:hAnsi="Century Schoolbook"/>
          <w:szCs w:val="24"/>
        </w:rPr>
        <w:t xml:space="preserve"> stor</w:t>
      </w:r>
      <w:r w:rsidR="001152A4" w:rsidRPr="006662B1">
        <w:rPr>
          <w:rFonts w:ascii="Century Schoolbook" w:hAnsi="Century Schoolbook"/>
          <w:szCs w:val="24"/>
        </w:rPr>
        <w:t xml:space="preserve"> betydelse </w:t>
      </w:r>
      <w:r w:rsidR="008B08C6" w:rsidRPr="006662B1">
        <w:rPr>
          <w:rFonts w:ascii="Century Schoolbook" w:hAnsi="Century Schoolbook"/>
          <w:szCs w:val="24"/>
        </w:rPr>
        <w:t>ifall</w:t>
      </w:r>
      <w:r w:rsidR="001152A4" w:rsidRPr="006662B1">
        <w:rPr>
          <w:rFonts w:ascii="Century Schoolbook" w:hAnsi="Century Schoolbook"/>
          <w:szCs w:val="24"/>
        </w:rPr>
        <w:t xml:space="preserve"> du råkar ut för något allvarligt och själv inte </w:t>
      </w:r>
      <w:r w:rsidR="00F6602E" w:rsidRPr="006662B1">
        <w:rPr>
          <w:rFonts w:ascii="Century Schoolbook" w:hAnsi="Century Schoolbook"/>
          <w:szCs w:val="24"/>
        </w:rPr>
        <w:t>kan meddela vårdpersonal om din</w:t>
      </w:r>
      <w:r w:rsidR="001152A4" w:rsidRPr="006662B1">
        <w:rPr>
          <w:rFonts w:ascii="Century Schoolbook" w:hAnsi="Century Schoolbook"/>
          <w:szCs w:val="24"/>
        </w:rPr>
        <w:t xml:space="preserve"> uppmärksamhets</w:t>
      </w:r>
      <w:r w:rsidR="00691C9C" w:rsidRPr="006662B1">
        <w:rPr>
          <w:rFonts w:ascii="Century Schoolbook" w:hAnsi="Century Schoolbook"/>
          <w:szCs w:val="24"/>
        </w:rPr>
        <w:t>-</w:t>
      </w:r>
      <w:r w:rsidR="001152A4" w:rsidRPr="006662B1">
        <w:rPr>
          <w:rFonts w:ascii="Century Schoolbook" w:hAnsi="Century Schoolbook"/>
          <w:szCs w:val="24"/>
        </w:rPr>
        <w:t>information.</w:t>
      </w:r>
    </w:p>
    <w:p w14:paraId="2BDFD59B" w14:textId="77777777" w:rsidR="002C2D3B" w:rsidRPr="006662B1" w:rsidRDefault="002C2D3B" w:rsidP="008209EA">
      <w:pPr>
        <w:pStyle w:val="Ingetavstnd"/>
        <w:rPr>
          <w:rFonts w:ascii="Century Schoolbook" w:hAnsi="Century Schoolbook"/>
          <w:color w:val="EE0000"/>
          <w:szCs w:val="24"/>
        </w:rPr>
      </w:pPr>
    </w:p>
    <w:p w14:paraId="4F046298" w14:textId="77777777" w:rsidR="00835B12" w:rsidRPr="006662B1" w:rsidRDefault="00835B12">
      <w:pPr>
        <w:rPr>
          <w:rFonts w:ascii="Verdana" w:hAnsi="Verdana"/>
          <w:color w:val="54585A"/>
          <w:u w:val="single"/>
        </w:rPr>
      </w:pPr>
      <w:r w:rsidRPr="006662B1">
        <w:rPr>
          <w:rFonts w:ascii="Verdana" w:hAnsi="Verdana"/>
          <w:color w:val="54585A"/>
          <w:u w:val="single"/>
        </w:rPr>
        <w:t>Remisser, provsvar och röntgen</w:t>
      </w:r>
    </w:p>
    <w:p w14:paraId="451276CC" w14:textId="77777777" w:rsidR="002C2D3B" w:rsidRPr="006662B1" w:rsidRDefault="00000000" w:rsidP="008209EA">
      <w:pPr>
        <w:pStyle w:val="Ingetavstnd"/>
        <w:rPr>
          <w:rFonts w:ascii="Century Schoolbook" w:hAnsi="Century Schoolbook"/>
          <w:szCs w:val="24"/>
        </w:rPr>
      </w:pPr>
      <w:r w:rsidRPr="006662B1">
        <w:rPr>
          <w:rFonts w:ascii="Century Schoolbook" w:hAnsi="Century Schoolbook"/>
          <w:szCs w:val="24"/>
        </w:rPr>
        <w:t xml:space="preserve">Det är även möjligt att spärra </w:t>
      </w:r>
      <w:r w:rsidR="008D23C2" w:rsidRPr="006662B1">
        <w:rPr>
          <w:rFonts w:ascii="Century Schoolbook" w:hAnsi="Century Schoolbook"/>
          <w:szCs w:val="24"/>
        </w:rPr>
        <w:t xml:space="preserve">skickade </w:t>
      </w:r>
      <w:r w:rsidRPr="006662B1">
        <w:rPr>
          <w:rFonts w:ascii="Century Schoolbook" w:hAnsi="Century Schoolbook"/>
          <w:szCs w:val="24"/>
        </w:rPr>
        <w:t xml:space="preserve">röntgen- och labbremisser och svar på dessa så att de inte längre ingår i sammanhållen journalföring. Vårdgivaren sätter spärren och det är endast vårdgivaren som satt spärren som kan häva den. </w:t>
      </w:r>
    </w:p>
    <w:p w14:paraId="706441A1" w14:textId="77777777" w:rsidR="002E0B9C" w:rsidRPr="006662B1" w:rsidRDefault="002E0B9C" w:rsidP="002E0B9C">
      <w:pPr>
        <w:rPr>
          <w:rFonts w:ascii="Century Schoolbook" w:hAnsi="Century Schoolbook"/>
          <w:color w:val="EE0000"/>
          <w:szCs w:val="24"/>
        </w:rPr>
      </w:pPr>
    </w:p>
    <w:p w14:paraId="0BDFA33F" w14:textId="77777777" w:rsidR="00835B12" w:rsidRPr="006662B1" w:rsidRDefault="00835B12">
      <w:pPr>
        <w:rPr>
          <w:rFonts w:ascii="Verdana" w:hAnsi="Verdana"/>
          <w:color w:val="54585A"/>
          <w:u w:val="single"/>
        </w:rPr>
      </w:pPr>
      <w:r w:rsidRPr="006662B1">
        <w:rPr>
          <w:rFonts w:ascii="Verdana" w:hAnsi="Verdana"/>
          <w:color w:val="54585A"/>
          <w:u w:val="single"/>
        </w:rPr>
        <w:t>Spärrnivå och vad personal kan se</w:t>
      </w:r>
    </w:p>
    <w:p w14:paraId="345A223F" w14:textId="678B407F" w:rsidR="0036437D" w:rsidRPr="006662B1" w:rsidRDefault="0036437D">
      <w:pPr>
        <w:rPr>
          <w:kern w:val="2"/>
          <w:szCs w:val="24"/>
          <w:lang w:eastAsia="sv-SE"/>
          <w14:ligatures w14:val="standardContextual"/>
        </w:rPr>
      </w:pPr>
      <w:r w:rsidRPr="006662B1">
        <w:rPr>
          <w:rFonts w:ascii="Century Schoolbook" w:hAnsi="Century Schoolbook"/>
        </w:rPr>
        <w:t>Spärr sätts på den nivå som journalsystemet stödjer (t.ex. per vårdenhet). Det går inte att sätta spärr för en enskild medarbetare.</w:t>
      </w:r>
    </w:p>
    <w:p w14:paraId="39F019E1" w14:textId="77777777" w:rsidR="00344686" w:rsidRPr="006662B1" w:rsidRDefault="00344686" w:rsidP="00344686">
      <w:pPr>
        <w:pStyle w:val="Ingetavstnd"/>
        <w:rPr>
          <w:szCs w:val="24"/>
        </w:rPr>
      </w:pPr>
    </w:p>
    <w:p w14:paraId="4B1D9EB6" w14:textId="77777777" w:rsidR="00284076" w:rsidRPr="006662B1" w:rsidRDefault="00000000" w:rsidP="00344686">
      <w:pPr>
        <w:pStyle w:val="Ingetavstnd"/>
        <w:rPr>
          <w:rFonts w:ascii="Century Schoolbook" w:hAnsi="Century Schoolbook"/>
          <w:szCs w:val="24"/>
        </w:rPr>
      </w:pPr>
      <w:r w:rsidRPr="006662B1">
        <w:rPr>
          <w:rFonts w:ascii="Century Schoolbook" w:hAnsi="Century Schoolbook"/>
          <w:szCs w:val="24"/>
        </w:rPr>
        <w:t>Personal kan se att din journal finns, även om den är spärrad, men kan inte läsa i den.</w:t>
      </w:r>
    </w:p>
    <w:p w14:paraId="4A5E7B04" w14:textId="77777777" w:rsidR="00284076" w:rsidRPr="006662B1" w:rsidRDefault="00284076" w:rsidP="00344686">
      <w:pPr>
        <w:pStyle w:val="Ingetavstnd"/>
        <w:rPr>
          <w:szCs w:val="24"/>
        </w:rPr>
      </w:pPr>
    </w:p>
    <w:p w14:paraId="25A22C8F" w14:textId="77777777" w:rsidR="002E0B9C" w:rsidRPr="006662B1" w:rsidRDefault="00000000" w:rsidP="002E0B9C">
      <w:pPr>
        <w:rPr>
          <w:rFonts w:ascii="Century Schoolbook" w:hAnsi="Century Schoolbook"/>
          <w:szCs w:val="24"/>
        </w:rPr>
      </w:pPr>
      <w:r w:rsidRPr="006662B1">
        <w:rPr>
          <w:rFonts w:ascii="Century Schoolbook" w:hAnsi="Century Schoolbook"/>
          <w:szCs w:val="24"/>
        </w:rPr>
        <w:t>Du kan spärra journaler som finns vid vårdenheter där du</w:t>
      </w:r>
      <w:r w:rsidR="0056522C" w:rsidRPr="006662B1">
        <w:rPr>
          <w:rFonts w:ascii="Century Schoolbook" w:hAnsi="Century Schoolbook"/>
          <w:szCs w:val="24"/>
        </w:rPr>
        <w:t xml:space="preserve"> någon gång</w:t>
      </w:r>
      <w:r w:rsidRPr="006662B1">
        <w:rPr>
          <w:rFonts w:ascii="Century Schoolbook" w:hAnsi="Century Schoolbook"/>
          <w:szCs w:val="24"/>
        </w:rPr>
        <w:t xml:space="preserve"> fått vård. </w:t>
      </w:r>
    </w:p>
    <w:p w14:paraId="59943733" w14:textId="77777777" w:rsidR="002E0B9C" w:rsidRPr="006662B1" w:rsidRDefault="002E0B9C" w:rsidP="002E0B9C">
      <w:pPr>
        <w:rPr>
          <w:rFonts w:ascii="Century Schoolbook" w:hAnsi="Century Schoolbook"/>
          <w:color w:val="EE0000"/>
          <w:szCs w:val="24"/>
        </w:rPr>
      </w:pPr>
    </w:p>
    <w:p w14:paraId="50ACD9E8" w14:textId="77777777" w:rsidR="00835B12" w:rsidRPr="006662B1" w:rsidRDefault="00835B12">
      <w:pPr>
        <w:rPr>
          <w:rFonts w:ascii="Verdana" w:hAnsi="Verdana"/>
          <w:color w:val="54585A"/>
          <w:u w:val="single"/>
        </w:rPr>
      </w:pPr>
      <w:r w:rsidRPr="006662B1">
        <w:rPr>
          <w:rFonts w:ascii="Verdana" w:hAnsi="Verdana"/>
          <w:color w:val="54585A"/>
          <w:u w:val="single"/>
        </w:rPr>
        <w:t>Barn och vårdnadshavare</w:t>
      </w:r>
    </w:p>
    <w:p w14:paraId="261683C9" w14:textId="77777777" w:rsidR="002E0B9C" w:rsidRPr="006662B1" w:rsidRDefault="00000000" w:rsidP="002E0B9C">
      <w:pPr>
        <w:rPr>
          <w:rFonts w:ascii="Century Schoolbook" w:hAnsi="Century Schoolbook"/>
          <w:szCs w:val="24"/>
        </w:rPr>
      </w:pPr>
      <w:r w:rsidRPr="006662B1">
        <w:rPr>
          <w:rFonts w:ascii="Century Schoolbook" w:hAnsi="Century Schoolbook"/>
          <w:szCs w:val="24"/>
        </w:rPr>
        <w:t>Vårdnadshavare har inte rätt a</w:t>
      </w:r>
      <w:r w:rsidR="00AA06F7" w:rsidRPr="006662B1">
        <w:rPr>
          <w:rFonts w:ascii="Century Schoolbook" w:hAnsi="Century Schoolbook"/>
          <w:szCs w:val="24"/>
        </w:rPr>
        <w:t>tt spärra sina barns journaler.</w:t>
      </w:r>
      <w:r w:rsidR="003533C8" w:rsidRPr="006662B1">
        <w:rPr>
          <w:rFonts w:ascii="Century Schoolbook" w:hAnsi="Century Schoolbook"/>
          <w:szCs w:val="24"/>
        </w:rPr>
        <w:t xml:space="preserve"> Barn under 18 år kan </w:t>
      </w:r>
      <w:r w:rsidR="00657822" w:rsidRPr="006662B1">
        <w:rPr>
          <w:rFonts w:ascii="Century Schoolbook" w:hAnsi="Century Schoolbook"/>
          <w:szCs w:val="24"/>
        </w:rPr>
        <w:t xml:space="preserve">själv </w:t>
      </w:r>
      <w:r w:rsidR="003533C8" w:rsidRPr="006662B1">
        <w:rPr>
          <w:rFonts w:ascii="Century Schoolbook" w:hAnsi="Century Schoolbook"/>
          <w:szCs w:val="24"/>
        </w:rPr>
        <w:t>spärra sin journal, beroende på barnets ålder och mognad.</w:t>
      </w:r>
    </w:p>
    <w:p w14:paraId="48CA6AD8" w14:textId="77777777" w:rsidR="0033398D" w:rsidRPr="006662B1" w:rsidRDefault="0033398D" w:rsidP="005A13E2">
      <w:pPr>
        <w:pStyle w:val="Ingetavstnd"/>
        <w:rPr>
          <w:rFonts w:ascii="Century Schoolbook" w:hAnsi="Century Schoolbook"/>
          <w:color w:val="EE0000"/>
          <w:szCs w:val="24"/>
        </w:rPr>
      </w:pPr>
    </w:p>
    <w:p w14:paraId="62794109" w14:textId="77777777" w:rsidR="00835B12" w:rsidRPr="006662B1" w:rsidRDefault="00835B12">
      <w:pPr>
        <w:rPr>
          <w:rFonts w:ascii="Verdana" w:hAnsi="Verdana"/>
          <w:color w:val="54585A"/>
          <w:u w:val="single"/>
        </w:rPr>
      </w:pPr>
      <w:r w:rsidRPr="006662B1">
        <w:rPr>
          <w:rFonts w:ascii="Verdana" w:hAnsi="Verdana"/>
          <w:color w:val="54585A"/>
          <w:u w:val="single"/>
        </w:rPr>
        <w:t>Utlämnande av uppgifter till andra aktörer</w:t>
      </w:r>
    </w:p>
    <w:p w14:paraId="199E148B" w14:textId="62CFF234" w:rsidR="00E44547" w:rsidRPr="006662B1" w:rsidRDefault="00E44547">
      <w:pPr>
        <w:pStyle w:val="Ingetavstnd"/>
        <w:rPr>
          <w:kern w:val="2"/>
          <w:szCs w:val="24"/>
          <w:lang w:eastAsia="sv-SE"/>
          <w14:ligatures w14:val="standardContextual"/>
        </w:rPr>
      </w:pPr>
      <w:r w:rsidRPr="006662B1">
        <w:rPr>
          <w:rFonts w:ascii="Century Schoolbook" w:hAnsi="Century Schoolbook"/>
        </w:rPr>
        <w:t>Andra aktörer</w:t>
      </w:r>
      <w:r w:rsidR="004129BF" w:rsidRPr="006662B1">
        <w:rPr>
          <w:rFonts w:ascii="Century Schoolbook" w:hAnsi="Century Schoolbook"/>
        </w:rPr>
        <w:t xml:space="preserve">, </w:t>
      </w:r>
      <w:r w:rsidRPr="006662B1">
        <w:rPr>
          <w:rFonts w:ascii="Century Schoolbook" w:hAnsi="Century Schoolbook"/>
        </w:rPr>
        <w:t>t.ex. Försäkringskassan</w:t>
      </w:r>
      <w:r w:rsidR="004129BF" w:rsidRPr="006662B1">
        <w:rPr>
          <w:rFonts w:ascii="Century Schoolbook" w:hAnsi="Century Schoolbook"/>
        </w:rPr>
        <w:t xml:space="preserve">, </w:t>
      </w:r>
      <w:r w:rsidRPr="006662B1">
        <w:rPr>
          <w:rFonts w:ascii="Century Schoolbook" w:hAnsi="Century Schoolbook"/>
        </w:rPr>
        <w:t>socialtjänsten</w:t>
      </w:r>
      <w:r w:rsidR="004129BF" w:rsidRPr="006662B1">
        <w:rPr>
          <w:rFonts w:ascii="Century Schoolbook" w:hAnsi="Century Schoolbook"/>
        </w:rPr>
        <w:t xml:space="preserve">, polisen, </w:t>
      </w:r>
      <w:r w:rsidR="000217A9" w:rsidRPr="006662B1">
        <w:rPr>
          <w:rFonts w:ascii="Century Schoolbook" w:hAnsi="Century Schoolbook"/>
        </w:rPr>
        <w:t xml:space="preserve">domstol, åklagare, kronofogden, </w:t>
      </w:r>
      <w:r w:rsidR="004129BF" w:rsidRPr="006662B1">
        <w:rPr>
          <w:rFonts w:ascii="Century Schoolbook" w:hAnsi="Century Schoolbook"/>
        </w:rPr>
        <w:t>Skatteverket, Transportstyrelsen,</w:t>
      </w:r>
      <w:r w:rsidRPr="006662B1">
        <w:rPr>
          <w:rFonts w:ascii="Century Schoolbook" w:hAnsi="Century Schoolbook"/>
        </w:rPr>
        <w:t xml:space="preserve"> har som huvudregel inte direkt åtkomst till din patientjournal. Däremot kan hälso- och sjukvården i vissa fall vara skyldig eller ha rätt att lämna ut uppgifter ur journalen enligt lag, efter sekretessprövning och i den omfattning som behövs för ändamålet.</w:t>
      </w:r>
    </w:p>
    <w:p w14:paraId="5E58969E" w14:textId="77777777" w:rsidR="002E0B9C" w:rsidRPr="006662B1" w:rsidRDefault="00000000" w:rsidP="002E0B9C">
      <w:pPr>
        <w:rPr>
          <w:rFonts w:ascii="Verdana" w:hAnsi="Verdana"/>
          <w:b/>
          <w:color w:val="54585A"/>
        </w:rPr>
      </w:pPr>
      <w:r w:rsidRPr="006662B1">
        <w:rPr>
          <w:rFonts w:ascii="Verdana" w:hAnsi="Verdana"/>
          <w:b/>
          <w:color w:val="54585A"/>
          <w:szCs w:val="24"/>
        </w:rPr>
        <w:br/>
      </w:r>
      <w:r w:rsidR="0063140F" w:rsidRPr="006662B1">
        <w:rPr>
          <w:rFonts w:ascii="Verdana" w:hAnsi="Verdana"/>
          <w:b/>
          <w:color w:val="54585A"/>
        </w:rPr>
        <w:t>Konsekvens och</w:t>
      </w:r>
      <w:r w:rsidRPr="006662B1">
        <w:rPr>
          <w:rFonts w:ascii="Verdana" w:hAnsi="Verdana"/>
          <w:b/>
          <w:color w:val="54585A"/>
        </w:rPr>
        <w:t xml:space="preserve"> risk med spärr</w:t>
      </w:r>
    </w:p>
    <w:p w14:paraId="079726BC" w14:textId="77777777" w:rsidR="002E0B9C" w:rsidRPr="006662B1" w:rsidRDefault="00000000" w:rsidP="002E0B9C">
      <w:pPr>
        <w:rPr>
          <w:rFonts w:ascii="Century Schoolbook" w:hAnsi="Century Schoolbook"/>
          <w:szCs w:val="24"/>
        </w:rPr>
      </w:pPr>
      <w:r w:rsidRPr="006662B1">
        <w:rPr>
          <w:rFonts w:ascii="Century Schoolbook" w:hAnsi="Century Schoolbook"/>
          <w:szCs w:val="24"/>
        </w:rPr>
        <w:t>Att spärra journaluppgifter kan eventuellt försvåra och riskera att försena din vård. Om du skulle bli akut allvarligt sjuk eller skadad kanske personalen inte kan nå dina journaluppgifter lika snabbt som i en ospärrad journal. Även planerad vård kan påverkas,</w:t>
      </w:r>
      <w:r w:rsidR="001F3422" w:rsidRPr="006662B1">
        <w:rPr>
          <w:rFonts w:ascii="Century Schoolbook" w:hAnsi="Century Schoolbook"/>
          <w:szCs w:val="24"/>
        </w:rPr>
        <w:t xml:space="preserve"> </w:t>
      </w:r>
      <w:r w:rsidRPr="006662B1">
        <w:rPr>
          <w:rFonts w:ascii="Century Schoolbook" w:hAnsi="Century Schoolbook"/>
          <w:szCs w:val="24"/>
        </w:rPr>
        <w:t>t ex läkarbesök eller operation då möjlighet</w:t>
      </w:r>
      <w:r w:rsidR="00657822" w:rsidRPr="006662B1">
        <w:rPr>
          <w:rFonts w:ascii="Century Schoolbook" w:hAnsi="Century Schoolbook"/>
          <w:szCs w:val="24"/>
        </w:rPr>
        <w:t>en</w:t>
      </w:r>
      <w:r w:rsidRPr="006662B1">
        <w:rPr>
          <w:rFonts w:ascii="Century Schoolbook" w:hAnsi="Century Schoolbook"/>
          <w:szCs w:val="24"/>
        </w:rPr>
        <w:t xml:space="preserve"> att ta del av din </w:t>
      </w:r>
      <w:r w:rsidRPr="006662B1">
        <w:rPr>
          <w:rFonts w:ascii="Century Schoolbook" w:hAnsi="Century Schoolbook"/>
          <w:szCs w:val="24"/>
        </w:rPr>
        <w:lastRenderedPageBreak/>
        <w:t xml:space="preserve">journal och viktig information inför och vid ditt besök försvinner vid spärr av journal. </w:t>
      </w:r>
      <w:r w:rsidR="0066192E" w:rsidRPr="006662B1">
        <w:rPr>
          <w:rFonts w:ascii="Century Schoolbook" w:hAnsi="Century Schoolbook"/>
          <w:szCs w:val="24"/>
        </w:rPr>
        <w:t>Du ansvarar själv för att delge vårdpersonalen sådant som de behöver veta.</w:t>
      </w:r>
    </w:p>
    <w:p w14:paraId="4CB5AD06" w14:textId="77777777" w:rsidR="002E0B9C" w:rsidRPr="006662B1" w:rsidRDefault="002E0B9C" w:rsidP="002E0B9C">
      <w:pPr>
        <w:rPr>
          <w:rFonts w:ascii="Century Schoolbook" w:hAnsi="Century Schoolbook"/>
          <w:szCs w:val="24"/>
        </w:rPr>
      </w:pPr>
    </w:p>
    <w:p w14:paraId="70BB97E4" w14:textId="77777777" w:rsidR="002E0B9C" w:rsidRPr="006662B1" w:rsidRDefault="00000000" w:rsidP="002E0B9C">
      <w:pPr>
        <w:rPr>
          <w:rFonts w:ascii="Century Schoolbook" w:hAnsi="Century Schoolbook"/>
          <w:szCs w:val="24"/>
        </w:rPr>
      </w:pPr>
      <w:r w:rsidRPr="006662B1">
        <w:rPr>
          <w:rFonts w:ascii="Century Schoolbook" w:hAnsi="Century Schoolbook"/>
          <w:szCs w:val="24"/>
        </w:rPr>
        <w:t>O</w:t>
      </w:r>
      <w:r w:rsidR="00446600" w:rsidRPr="006662B1">
        <w:rPr>
          <w:rFonts w:ascii="Century Schoolbook" w:hAnsi="Century Schoolbook"/>
          <w:szCs w:val="24"/>
        </w:rPr>
        <w:t xml:space="preserve">m du remitterats till läkare utanför Stiftelsen Carlanderska Sjukhuset, t ex till Region Västra Götaland, så förhindrar spärren läkarens möjlighet att ta del av din journal, dvs viktig information inför och vid ditt besök. </w:t>
      </w:r>
    </w:p>
    <w:p w14:paraId="67BF086D" w14:textId="77777777" w:rsidR="004061C7" w:rsidRPr="006662B1" w:rsidRDefault="004061C7" w:rsidP="002E0B9C">
      <w:pPr>
        <w:rPr>
          <w:rFonts w:ascii="Century Schoolbook" w:hAnsi="Century Schoolbook"/>
          <w:szCs w:val="24"/>
        </w:rPr>
      </w:pPr>
    </w:p>
    <w:p w14:paraId="5735B2A3" w14:textId="77777777" w:rsidR="002526C4" w:rsidRPr="006662B1" w:rsidRDefault="002526C4">
      <w:pPr>
        <w:rPr>
          <w:kern w:val="2"/>
          <w:szCs w:val="24"/>
          <w:lang w:eastAsia="sv-SE"/>
          <w14:ligatures w14:val="standardContextual"/>
        </w:rPr>
      </w:pPr>
      <w:r w:rsidRPr="006662B1">
        <w:rPr>
          <w:rFonts w:ascii="Century Schoolbook" w:hAnsi="Century Schoolbook"/>
        </w:rPr>
        <w:t>Om du vill att annan vårdgivare inför ett besök skall kunna se dina spärrade uppgifter behöver du i god tid kontakta Stiftelsen Carlanderska Sjukhuset för att begära att spärren hävs, tillfälligt eller permanent. En spärr som gäller åtkomst via NPÖ (sammanhållen journalföring/yttre spärr) kan normalt inte öppnas av vårdpersonal hos andra vårdgivare, utan hanteras av den vårdgivare som lagt spärren. Inre spärrar inom Stiftelsen Carlanderska Sjukhuset hanteras inom vårdgivaren enligt gällande behörigheter och rutiner.</w:t>
      </w:r>
    </w:p>
    <w:p w14:paraId="430C4D87" w14:textId="77777777" w:rsidR="002E0B9C" w:rsidRPr="006662B1" w:rsidRDefault="002E0B9C" w:rsidP="002E0B9C">
      <w:pPr>
        <w:rPr>
          <w:rFonts w:ascii="Century Schoolbook" w:hAnsi="Century Schoolbook"/>
          <w:szCs w:val="24"/>
        </w:rPr>
      </w:pPr>
    </w:p>
    <w:p w14:paraId="4A070A23" w14:textId="77777777" w:rsidR="002E0B9C" w:rsidRPr="006662B1" w:rsidRDefault="00000000" w:rsidP="002E0B9C">
      <w:pPr>
        <w:rPr>
          <w:rFonts w:ascii="Verdana" w:hAnsi="Verdana"/>
          <w:b/>
          <w:color w:val="54585A"/>
        </w:rPr>
      </w:pPr>
      <w:r w:rsidRPr="006662B1">
        <w:rPr>
          <w:rFonts w:ascii="Verdana" w:hAnsi="Verdana"/>
          <w:b/>
          <w:color w:val="54585A"/>
        </w:rPr>
        <w:t xml:space="preserve">Nödöppning </w:t>
      </w:r>
    </w:p>
    <w:p w14:paraId="652504E4" w14:textId="77777777" w:rsidR="00E44547" w:rsidRPr="006662B1" w:rsidRDefault="00E44547">
      <w:pPr>
        <w:rPr>
          <w:kern w:val="2"/>
          <w:szCs w:val="24"/>
          <w:lang w:eastAsia="sv-SE"/>
          <w14:ligatures w14:val="standardContextual"/>
        </w:rPr>
      </w:pPr>
      <w:r w:rsidRPr="006662B1">
        <w:rPr>
          <w:rFonts w:ascii="Century Schoolbook" w:hAnsi="Century Schoolbook"/>
        </w:rPr>
        <w:t>Hälso- och sjukvårdspersonal kan i vissa situationer få tillgång till spärrade uppgifter utan ditt samtycke genom så kallad nödöppning, om det finns en akut risk för liv eller allvarlig fara för hälsan. Nödöppning ska vara behovsprövad, sker av behörig personal och loggas.</w:t>
      </w:r>
    </w:p>
    <w:p w14:paraId="667B9EC9" w14:textId="77777777" w:rsidR="00BB6613" w:rsidRPr="006662B1" w:rsidRDefault="00BB6613" w:rsidP="002E0B9C">
      <w:pPr>
        <w:rPr>
          <w:rFonts w:ascii="Century Schoolbook" w:hAnsi="Century Schoolbook"/>
          <w:szCs w:val="24"/>
        </w:rPr>
      </w:pPr>
    </w:p>
    <w:p w14:paraId="2F8766E1" w14:textId="77777777" w:rsidR="000F180B" w:rsidRPr="006662B1" w:rsidRDefault="00000000" w:rsidP="000F180B">
      <w:pPr>
        <w:rPr>
          <w:rFonts w:ascii="Verdana" w:hAnsi="Verdana"/>
          <w:b/>
          <w:color w:val="54585A"/>
        </w:rPr>
      </w:pPr>
      <w:r w:rsidRPr="006662B1">
        <w:rPr>
          <w:rFonts w:ascii="Verdana" w:hAnsi="Verdana"/>
          <w:b/>
          <w:color w:val="54585A"/>
        </w:rPr>
        <w:t>Häva spärr</w:t>
      </w:r>
    </w:p>
    <w:p w14:paraId="788281C1" w14:textId="77777777" w:rsidR="002064A2" w:rsidRPr="006662B1" w:rsidRDefault="00000000" w:rsidP="002E0B9C">
      <w:pPr>
        <w:rPr>
          <w:rFonts w:ascii="Century Schoolbook" w:hAnsi="Century Schoolbook"/>
          <w:szCs w:val="24"/>
        </w:rPr>
      </w:pPr>
      <w:r w:rsidRPr="006662B1">
        <w:rPr>
          <w:rFonts w:ascii="Century Schoolbook" w:hAnsi="Century Schoolbook"/>
          <w:szCs w:val="24"/>
        </w:rPr>
        <w:t xml:space="preserve">Det kan finnas flera orsaker till </w:t>
      </w:r>
      <w:r w:rsidR="004A1188" w:rsidRPr="006662B1">
        <w:rPr>
          <w:rFonts w:ascii="Century Schoolbook" w:hAnsi="Century Schoolbook"/>
          <w:szCs w:val="24"/>
        </w:rPr>
        <w:t>att häva</w:t>
      </w:r>
      <w:r w:rsidR="00540E78" w:rsidRPr="006662B1">
        <w:rPr>
          <w:rFonts w:ascii="Century Schoolbook" w:hAnsi="Century Schoolbook"/>
          <w:szCs w:val="24"/>
        </w:rPr>
        <w:t xml:space="preserve"> </w:t>
      </w:r>
      <w:r w:rsidR="004A1188" w:rsidRPr="006662B1">
        <w:rPr>
          <w:rFonts w:ascii="Century Schoolbook" w:hAnsi="Century Schoolbook"/>
          <w:szCs w:val="24"/>
        </w:rPr>
        <w:t>en</w:t>
      </w:r>
      <w:r w:rsidR="00540E78" w:rsidRPr="006662B1">
        <w:rPr>
          <w:rFonts w:ascii="Century Schoolbook" w:hAnsi="Century Schoolbook"/>
          <w:szCs w:val="24"/>
        </w:rPr>
        <w:t xml:space="preserve"> </w:t>
      </w:r>
      <w:r w:rsidRPr="006662B1">
        <w:rPr>
          <w:rFonts w:ascii="Century Schoolbook" w:hAnsi="Century Schoolbook"/>
          <w:szCs w:val="24"/>
        </w:rPr>
        <w:t xml:space="preserve">spärrad journal. </w:t>
      </w:r>
      <w:r w:rsidR="004173AC" w:rsidRPr="006662B1">
        <w:rPr>
          <w:rFonts w:ascii="Century Schoolbook" w:hAnsi="Century Schoolbook"/>
          <w:szCs w:val="24"/>
        </w:rPr>
        <w:t>Du som patient</w:t>
      </w:r>
      <w:r w:rsidRPr="006662B1">
        <w:rPr>
          <w:rFonts w:ascii="Century Schoolbook" w:hAnsi="Century Schoolbook"/>
          <w:szCs w:val="24"/>
        </w:rPr>
        <w:t xml:space="preserve"> kan begära en permanent hävning </w:t>
      </w:r>
      <w:r w:rsidR="008D47C9" w:rsidRPr="006662B1">
        <w:rPr>
          <w:rFonts w:ascii="Century Schoolbook" w:hAnsi="Century Schoolbook"/>
          <w:szCs w:val="24"/>
        </w:rPr>
        <w:t xml:space="preserve">alternativt välja att spärren hävs tillfälligt inför </w:t>
      </w:r>
    </w:p>
    <w:p w14:paraId="3FBA9F3F" w14:textId="77777777" w:rsidR="00E44547" w:rsidRPr="006662B1" w:rsidRDefault="00E44547">
      <w:pPr>
        <w:rPr>
          <w:kern w:val="2"/>
          <w:szCs w:val="24"/>
          <w:lang w:eastAsia="sv-SE"/>
          <w14:ligatures w14:val="standardContextual"/>
        </w:rPr>
      </w:pPr>
      <w:r w:rsidRPr="006662B1">
        <w:rPr>
          <w:rFonts w:ascii="Century Schoolbook" w:hAnsi="Century Schoolbook"/>
        </w:rPr>
        <w:t>exempelvis ett besök hos en annan vårdgivare. Spärren kan även, utan samtycke från dig, tillfälligt brytas vid en akut nödsituation när du inte har möjlighet att lämna samtycke (nödöppning). För att häva en spärr kontaktar du den vårdgivare där spärren är lagd. Har du lagt spärr hos flera vårdgivare/enheter behöver varje spärr hanteras hos respektive vårdgivare.</w:t>
      </w:r>
    </w:p>
    <w:p w14:paraId="66277B97" w14:textId="77777777" w:rsidR="00AD519B" w:rsidRPr="006662B1" w:rsidRDefault="00AD519B" w:rsidP="002E0B9C">
      <w:pPr>
        <w:rPr>
          <w:rFonts w:ascii="Verdana" w:hAnsi="Verdana"/>
          <w:b/>
          <w:color w:val="A6093D"/>
          <w:szCs w:val="24"/>
        </w:rPr>
      </w:pPr>
    </w:p>
    <w:p w14:paraId="13BD48CB" w14:textId="77777777" w:rsidR="002E0B9C" w:rsidRPr="006662B1" w:rsidRDefault="00000000" w:rsidP="002E0B9C">
      <w:pPr>
        <w:rPr>
          <w:rFonts w:ascii="Verdana" w:hAnsi="Verdana"/>
          <w:b/>
          <w:color w:val="54585A"/>
        </w:rPr>
      </w:pPr>
      <w:r w:rsidRPr="006662B1">
        <w:rPr>
          <w:rFonts w:ascii="Verdana" w:hAnsi="Verdana"/>
          <w:b/>
          <w:color w:val="54585A"/>
        </w:rPr>
        <w:t xml:space="preserve">Loggutdrag </w:t>
      </w:r>
    </w:p>
    <w:p w14:paraId="5F9E4DAA" w14:textId="77777777" w:rsidR="002E0B9C" w:rsidRPr="006662B1" w:rsidRDefault="00000000" w:rsidP="002E0B9C">
      <w:pPr>
        <w:rPr>
          <w:rFonts w:ascii="Century Schoolbook" w:hAnsi="Century Schoolbook"/>
          <w:szCs w:val="24"/>
        </w:rPr>
      </w:pPr>
      <w:r w:rsidRPr="006662B1">
        <w:rPr>
          <w:rFonts w:ascii="Century Schoolbook" w:hAnsi="Century Schoolbook"/>
          <w:szCs w:val="24"/>
        </w:rPr>
        <w:t xml:space="preserve">Varje gång som vårdpersonal tar del av journaluppgifter skapas en logg. Det går då i efterhand </w:t>
      </w:r>
      <w:r w:rsidR="003A7883" w:rsidRPr="006662B1">
        <w:rPr>
          <w:rFonts w:ascii="Century Schoolbook" w:hAnsi="Century Schoolbook"/>
          <w:szCs w:val="24"/>
        </w:rPr>
        <w:t xml:space="preserve">att </w:t>
      </w:r>
      <w:r w:rsidRPr="006662B1">
        <w:rPr>
          <w:rFonts w:ascii="Century Schoolbook" w:hAnsi="Century Schoolbook"/>
          <w:szCs w:val="24"/>
        </w:rPr>
        <w:t>spåra vem som tagit del av din journal. Som patient kan du be att få ta del av logglistan. Vid frågor om loggutdrag kontakta</w:t>
      </w:r>
      <w:r w:rsidR="00407005" w:rsidRPr="006662B1">
        <w:rPr>
          <w:rFonts w:ascii="Century Schoolbook" w:hAnsi="Century Schoolbook"/>
          <w:szCs w:val="24"/>
        </w:rPr>
        <w:t>r du</w:t>
      </w:r>
      <w:r w:rsidRPr="006662B1">
        <w:rPr>
          <w:rFonts w:ascii="Century Schoolbook" w:hAnsi="Century Schoolbook"/>
          <w:szCs w:val="24"/>
        </w:rPr>
        <w:t xml:space="preserve"> berörd mottagning. </w:t>
      </w:r>
    </w:p>
    <w:p w14:paraId="57165C41" w14:textId="77777777" w:rsidR="00523CF0" w:rsidRPr="006662B1" w:rsidRDefault="00523CF0" w:rsidP="00835D0B">
      <w:pPr>
        <w:rPr>
          <w:rFonts w:ascii="Verdana" w:hAnsi="Verdana"/>
          <w:b/>
          <w:color w:val="54585A"/>
          <w:szCs w:val="24"/>
        </w:rPr>
      </w:pPr>
    </w:p>
    <w:p w14:paraId="0FDE203A" w14:textId="540CA2E5" w:rsidR="00523CF0" w:rsidRPr="006662B1" w:rsidRDefault="00000000" w:rsidP="00523CF0">
      <w:pPr>
        <w:rPr>
          <w:rFonts w:ascii="Verdana" w:hAnsi="Verdana"/>
          <w:b/>
          <w:color w:val="54585A"/>
        </w:rPr>
      </w:pPr>
      <w:r w:rsidRPr="006662B1">
        <w:rPr>
          <w:rFonts w:ascii="Verdana" w:hAnsi="Verdana"/>
          <w:b/>
          <w:color w:val="54585A"/>
        </w:rPr>
        <w:t xml:space="preserve">Spärr av journal </w:t>
      </w:r>
      <w:r w:rsidR="00E44547" w:rsidRPr="006662B1">
        <w:rPr>
          <w:rFonts w:ascii="Verdana" w:hAnsi="Verdana"/>
          <w:b/>
          <w:color w:val="54585A"/>
        </w:rPr>
        <w:t>via</w:t>
      </w:r>
      <w:r w:rsidRPr="006662B1">
        <w:rPr>
          <w:rFonts w:ascii="Verdana" w:hAnsi="Verdana"/>
          <w:b/>
          <w:color w:val="54585A"/>
        </w:rPr>
        <w:t xml:space="preserve"> 1177</w:t>
      </w:r>
    </w:p>
    <w:p w14:paraId="2213582B" w14:textId="5E8B9433" w:rsidR="00407CB3" w:rsidRPr="006662B1" w:rsidRDefault="00407CB3">
      <w:pPr>
        <w:rPr>
          <w:rFonts w:ascii="Century Schoolbook" w:hAnsi="Century Schoolbook"/>
        </w:rPr>
      </w:pPr>
      <w:r w:rsidRPr="006662B1">
        <w:rPr>
          <w:rFonts w:ascii="Century Schoolbook" w:hAnsi="Century Schoolbook"/>
        </w:rPr>
        <w:t xml:space="preserve">Viktigt – NPÖ och 1177 är inte samma sak: NPÖ (Nationell patientöversikt) är en nationell tjänst som vårdpersonal kan använda för att, med ditt samtycke, se journaluppgifter från andra vårdgivare (dvs. att journaluppgifter kan delas mellan vårdgivare). Om du spärrar uppgifter i NPÖ innebär det att andra vårdgivare inte kan se de spärrade uppgifterna via NPÖ. Det påverkar däremot inte automatiskt vad du kan se i 1177 (Journalen via nätet). </w:t>
      </w:r>
    </w:p>
    <w:p w14:paraId="2416BCBA" w14:textId="755D8574" w:rsidR="000217A9" w:rsidRPr="006662B1" w:rsidRDefault="000217A9" w:rsidP="000217A9">
      <w:pPr>
        <w:spacing w:before="100" w:beforeAutospacing="1" w:after="100" w:afterAutospacing="1" w:line="300" w:lineRule="atLeast"/>
        <w:rPr>
          <w:rFonts w:ascii="Century Schoolbook" w:hAnsi="Century Schoolbook"/>
        </w:rPr>
      </w:pPr>
      <w:r w:rsidRPr="006662B1">
        <w:rPr>
          <w:rFonts w:ascii="Century Schoolbook" w:hAnsi="Century Schoolbook"/>
        </w:rPr>
        <w:t>Din journal som visas på 1177.se kan förseglas, vilket inte är samma sak som att spärra journalen. Att försegla journalen innebär att du själv blockerar åtkomsten till din journal via 1177.se, så att du inte kan läsa den där.</w:t>
      </w:r>
    </w:p>
    <w:p w14:paraId="666545ED" w14:textId="61CFE56D" w:rsidR="000217A9" w:rsidRPr="006662B1" w:rsidRDefault="000217A9" w:rsidP="000217A9">
      <w:pPr>
        <w:spacing w:before="100" w:beforeAutospacing="1" w:after="100" w:afterAutospacing="1" w:line="300" w:lineRule="atLeast"/>
        <w:rPr>
          <w:rFonts w:ascii="Century Schoolbook" w:hAnsi="Century Schoolbook"/>
        </w:rPr>
      </w:pPr>
      <w:r w:rsidRPr="006662B1">
        <w:rPr>
          <w:rFonts w:ascii="Century Schoolbook" w:hAnsi="Century Schoolbook"/>
        </w:rPr>
        <w:lastRenderedPageBreak/>
        <w:t>Hur du begär en spärr av journaluppgifter kan skilja sig åt beroende på vårdgivare eller region. I vissa fall kan spärren begäras via e</w:t>
      </w:r>
      <w:r w:rsidRPr="006662B1">
        <w:rPr>
          <w:rFonts w:ascii="Century Schoolbook" w:hAnsi="Century Schoolbook"/>
        </w:rPr>
        <w:noBreakHyphen/>
        <w:t>tjänster på 1177.se, medan du i andra fall behöver kontakta den aktuella vårdgivaren för blankett eller hjälp med handläggningen. Är du osäker på vad som gäller, kontakta den mottagning eller vårdgivare där journaluppgifterna finns.</w:t>
      </w:r>
    </w:p>
    <w:p w14:paraId="532C237F" w14:textId="77777777" w:rsidR="000217A9" w:rsidRPr="000217A9" w:rsidRDefault="000217A9" w:rsidP="000217A9">
      <w:pPr>
        <w:spacing w:before="100" w:beforeAutospacing="1" w:after="100" w:afterAutospacing="1" w:line="300" w:lineRule="atLeast"/>
        <w:rPr>
          <w:rFonts w:ascii="Century Schoolbook" w:hAnsi="Century Schoolbook"/>
        </w:rPr>
      </w:pPr>
      <w:r w:rsidRPr="006662B1">
        <w:rPr>
          <w:rFonts w:ascii="Century Schoolbook" w:hAnsi="Century Schoolbook"/>
        </w:rPr>
        <w:t>Möjligheten att häva en spärr via 1177.se kan också variera. Om du inte själv kan hantera spärren via 1177, behöver du kontakta den vårdgivare som lagt spärren för att få hjälp med att ta bort den.</w:t>
      </w:r>
    </w:p>
    <w:p w14:paraId="61BBDA18" w14:textId="5141FE0B" w:rsidR="00774077" w:rsidRDefault="00000000" w:rsidP="002E0B9C">
      <w:pPr>
        <w:rPr>
          <w:rFonts w:ascii="Century Schoolbook" w:hAnsi="Century Schoolbook"/>
          <w:szCs w:val="24"/>
        </w:rPr>
      </w:pPr>
      <w:r>
        <w:rPr>
          <w:rFonts w:ascii="Century Schoolbook" w:hAnsi="Century Schoolbook"/>
          <w:szCs w:val="24"/>
        </w:rPr>
        <w:t>Tänk på att h</w:t>
      </w:r>
      <w:r w:rsidRPr="00353F48">
        <w:rPr>
          <w:rFonts w:ascii="Century Schoolbook" w:hAnsi="Century Schoolbook"/>
          <w:szCs w:val="24"/>
        </w:rPr>
        <w:t xml:space="preserve">älso- och sjukvårdspersonal </w:t>
      </w:r>
      <w:r>
        <w:rPr>
          <w:rFonts w:ascii="Century Schoolbook" w:hAnsi="Century Schoolbook"/>
          <w:szCs w:val="24"/>
        </w:rPr>
        <w:t>har</w:t>
      </w:r>
      <w:r w:rsidR="0019527E">
        <w:rPr>
          <w:rFonts w:ascii="Century Schoolbook" w:hAnsi="Century Schoolbook"/>
          <w:szCs w:val="24"/>
        </w:rPr>
        <w:t xml:space="preserve"> rätt att häva spärren vid</w:t>
      </w:r>
      <w:r w:rsidRPr="00353F48">
        <w:rPr>
          <w:rFonts w:ascii="Century Schoolbook" w:hAnsi="Century Schoolbook"/>
          <w:szCs w:val="24"/>
        </w:rPr>
        <w:t xml:space="preserve"> så kallad nödöppning. Anledningen är </w:t>
      </w:r>
      <w:r w:rsidR="00F25C7F">
        <w:rPr>
          <w:rFonts w:ascii="Century Schoolbook" w:hAnsi="Century Schoolbook"/>
          <w:szCs w:val="24"/>
        </w:rPr>
        <w:t xml:space="preserve">oftast </w:t>
      </w:r>
      <w:r w:rsidRPr="00353F48">
        <w:rPr>
          <w:rFonts w:ascii="Century Schoolbook" w:hAnsi="Century Schoolbook"/>
          <w:szCs w:val="24"/>
        </w:rPr>
        <w:t xml:space="preserve">att man </w:t>
      </w:r>
      <w:r w:rsidR="0019527E">
        <w:rPr>
          <w:rFonts w:ascii="Century Schoolbook" w:hAnsi="Century Schoolbook"/>
          <w:szCs w:val="24"/>
        </w:rPr>
        <w:t xml:space="preserve">snabbt </w:t>
      </w:r>
      <w:r w:rsidRPr="00353F48">
        <w:rPr>
          <w:rFonts w:ascii="Century Schoolbook" w:hAnsi="Century Schoolbook"/>
          <w:szCs w:val="24"/>
        </w:rPr>
        <w:t>måste få tillgång till medicinsk information</w:t>
      </w:r>
      <w:r w:rsidR="00F25C7F">
        <w:rPr>
          <w:rFonts w:ascii="Century Schoolbook" w:hAnsi="Century Schoolbook"/>
          <w:szCs w:val="24"/>
        </w:rPr>
        <w:t xml:space="preserve"> med hänsyn till patientens hälsa och liv</w:t>
      </w:r>
      <w:r w:rsidRPr="00353F48">
        <w:rPr>
          <w:rFonts w:ascii="Century Schoolbook" w:hAnsi="Century Schoolbook"/>
          <w:szCs w:val="24"/>
        </w:rPr>
        <w:t xml:space="preserve">. </w:t>
      </w:r>
    </w:p>
    <w:p w14:paraId="7EAAB377" w14:textId="77777777" w:rsidR="00353F48" w:rsidRPr="00353F48" w:rsidRDefault="00353F48" w:rsidP="00353F48">
      <w:pPr>
        <w:pStyle w:val="Ingetavstnd"/>
      </w:pPr>
    </w:p>
    <w:p w14:paraId="75B3D9E2" w14:textId="77777777" w:rsidR="009477B7" w:rsidRDefault="009477B7" w:rsidP="00A4529E">
      <w:pPr>
        <w:pBdr>
          <w:top w:val="single" w:sz="12" w:space="1" w:color="A6093D"/>
        </w:pBdr>
        <w:rPr>
          <w:rFonts w:ascii="Century Schoolbook" w:hAnsi="Century Schoolbook"/>
        </w:rPr>
      </w:pPr>
    </w:p>
    <w:p w14:paraId="0FBAA479" w14:textId="77777777" w:rsidR="00774077" w:rsidRPr="00835D0B" w:rsidRDefault="00000000" w:rsidP="002E0B9C">
      <w:pPr>
        <w:rPr>
          <w:rFonts w:ascii="Century Schoolbook" w:hAnsi="Century Schoolbook"/>
          <w:szCs w:val="24"/>
        </w:rPr>
      </w:pPr>
      <w:r w:rsidRPr="00835D0B">
        <w:rPr>
          <w:rFonts w:ascii="Century Schoolbook" w:hAnsi="Century Schoolbook"/>
          <w:szCs w:val="24"/>
        </w:rPr>
        <w:t>Vårdgivare:</w:t>
      </w:r>
    </w:p>
    <w:p w14:paraId="064462B1" w14:textId="77777777" w:rsidR="002E0B9C" w:rsidRPr="00835D0B" w:rsidRDefault="00000000" w:rsidP="00774077">
      <w:pPr>
        <w:pStyle w:val="Liststycke"/>
        <w:numPr>
          <w:ilvl w:val="0"/>
          <w:numId w:val="1"/>
        </w:numPr>
        <w:rPr>
          <w:rFonts w:ascii="Century Schoolbook" w:hAnsi="Century Schoolbook"/>
          <w:szCs w:val="24"/>
        </w:rPr>
      </w:pPr>
      <w:r w:rsidRPr="00835D0B">
        <w:rPr>
          <w:rFonts w:ascii="Century Schoolbook" w:hAnsi="Century Schoolbook"/>
          <w:szCs w:val="24"/>
        </w:rPr>
        <w:t>St</w:t>
      </w:r>
      <w:r w:rsidR="00774077" w:rsidRPr="00835D0B">
        <w:rPr>
          <w:rFonts w:ascii="Century Schoolbook" w:hAnsi="Century Schoolbook"/>
          <w:szCs w:val="24"/>
        </w:rPr>
        <w:t>iftelsen Carlanderska Sjukhuset</w:t>
      </w:r>
    </w:p>
    <w:p w14:paraId="088AE4A4" w14:textId="77777777" w:rsidR="00774077" w:rsidRPr="00835D0B" w:rsidRDefault="00774077" w:rsidP="00774077">
      <w:pPr>
        <w:pStyle w:val="Ingetavstnd"/>
        <w:rPr>
          <w:rFonts w:ascii="Century Schoolbook" w:hAnsi="Century Schoolbook"/>
          <w:szCs w:val="24"/>
        </w:rPr>
      </w:pPr>
    </w:p>
    <w:p w14:paraId="53720DDE" w14:textId="77777777" w:rsidR="00774077" w:rsidRPr="00835D0B" w:rsidRDefault="00000000" w:rsidP="00774077">
      <w:pPr>
        <w:pStyle w:val="Ingetavstnd"/>
        <w:rPr>
          <w:rFonts w:ascii="Century Schoolbook" w:hAnsi="Century Schoolbook"/>
          <w:szCs w:val="24"/>
        </w:rPr>
      </w:pPr>
      <w:r w:rsidRPr="00835D0B">
        <w:rPr>
          <w:rFonts w:ascii="Century Schoolbook" w:hAnsi="Century Schoolbook"/>
          <w:szCs w:val="24"/>
        </w:rPr>
        <w:t>Vårdenheter inom Stift</w:t>
      </w:r>
      <w:r w:rsidR="00B37CFE" w:rsidRPr="00835D0B">
        <w:rPr>
          <w:rFonts w:ascii="Century Schoolbook" w:hAnsi="Century Schoolbook"/>
          <w:szCs w:val="24"/>
        </w:rPr>
        <w:t>el</w:t>
      </w:r>
      <w:r w:rsidRPr="00835D0B">
        <w:rPr>
          <w:rFonts w:ascii="Century Schoolbook" w:hAnsi="Century Schoolbook"/>
          <w:szCs w:val="24"/>
        </w:rPr>
        <w:t>sen Carlanderska Sjukhuset:</w:t>
      </w:r>
    </w:p>
    <w:p w14:paraId="598AD085" w14:textId="77777777" w:rsidR="002E0B9C" w:rsidRPr="00835D0B" w:rsidRDefault="00000000" w:rsidP="00774077">
      <w:pPr>
        <w:pStyle w:val="Liststycke"/>
        <w:numPr>
          <w:ilvl w:val="0"/>
          <w:numId w:val="1"/>
        </w:numPr>
        <w:rPr>
          <w:rFonts w:ascii="Century Schoolbook" w:hAnsi="Century Schoolbook"/>
          <w:szCs w:val="24"/>
        </w:rPr>
      </w:pPr>
      <w:r w:rsidRPr="00835D0B">
        <w:rPr>
          <w:rFonts w:ascii="Century Schoolbook" w:hAnsi="Century Schoolbook"/>
          <w:szCs w:val="24"/>
        </w:rPr>
        <w:t>Vårdcentralen Carlanderska</w:t>
      </w:r>
    </w:p>
    <w:p w14:paraId="3D6E541C" w14:textId="77777777" w:rsidR="00774077" w:rsidRPr="00835D0B" w:rsidRDefault="00000000" w:rsidP="00774077">
      <w:pPr>
        <w:pStyle w:val="Ingetavstnd"/>
        <w:numPr>
          <w:ilvl w:val="0"/>
          <w:numId w:val="1"/>
        </w:numPr>
        <w:rPr>
          <w:rFonts w:ascii="Century Schoolbook" w:hAnsi="Century Schoolbook"/>
          <w:szCs w:val="24"/>
        </w:rPr>
      </w:pPr>
      <w:r>
        <w:rPr>
          <w:rFonts w:ascii="Century Schoolbook" w:hAnsi="Century Schoolbook"/>
          <w:szCs w:val="24"/>
        </w:rPr>
        <w:t xml:space="preserve">Carlanderska </w:t>
      </w:r>
      <w:r w:rsidRPr="00835D0B">
        <w:rPr>
          <w:rFonts w:ascii="Century Schoolbook" w:hAnsi="Century Schoolbook"/>
          <w:szCs w:val="24"/>
        </w:rPr>
        <w:t>Rehab</w:t>
      </w:r>
    </w:p>
    <w:p w14:paraId="4C9D8F30" w14:textId="77777777" w:rsidR="00774077" w:rsidRPr="00835D0B" w:rsidRDefault="00000000" w:rsidP="00774077">
      <w:pPr>
        <w:pStyle w:val="Ingetavstnd"/>
        <w:numPr>
          <w:ilvl w:val="0"/>
          <w:numId w:val="1"/>
        </w:numPr>
        <w:rPr>
          <w:rFonts w:ascii="Century Schoolbook" w:hAnsi="Century Schoolbook"/>
          <w:szCs w:val="24"/>
        </w:rPr>
      </w:pPr>
      <w:r w:rsidRPr="00835D0B">
        <w:rPr>
          <w:rFonts w:ascii="Century Schoolbook" w:hAnsi="Century Schoolbook"/>
          <w:szCs w:val="24"/>
        </w:rPr>
        <w:t>Medicinkliniken</w:t>
      </w:r>
    </w:p>
    <w:p w14:paraId="538AF62F" w14:textId="77777777" w:rsidR="00774077" w:rsidRPr="006662B1" w:rsidRDefault="00000000" w:rsidP="00774077">
      <w:pPr>
        <w:pStyle w:val="Ingetavstnd"/>
        <w:numPr>
          <w:ilvl w:val="0"/>
          <w:numId w:val="1"/>
        </w:numPr>
        <w:rPr>
          <w:rFonts w:ascii="Century Schoolbook" w:hAnsi="Century Schoolbook"/>
          <w:szCs w:val="24"/>
        </w:rPr>
      </w:pPr>
      <w:r w:rsidRPr="006662B1">
        <w:rPr>
          <w:rFonts w:ascii="Century Schoolbook" w:hAnsi="Century Schoolbook"/>
          <w:szCs w:val="24"/>
        </w:rPr>
        <w:t>Kirurg- och ortopedkliniken</w:t>
      </w:r>
    </w:p>
    <w:p w14:paraId="7F780193" w14:textId="78328A38" w:rsidR="00C34DD8" w:rsidRPr="006662B1" w:rsidRDefault="00C34DD8" w:rsidP="00774077">
      <w:pPr>
        <w:pStyle w:val="Ingetavstnd"/>
        <w:numPr>
          <w:ilvl w:val="0"/>
          <w:numId w:val="1"/>
        </w:numPr>
        <w:rPr>
          <w:rFonts w:ascii="Century Schoolbook" w:hAnsi="Century Schoolbook"/>
          <w:szCs w:val="24"/>
        </w:rPr>
      </w:pPr>
      <w:r w:rsidRPr="006662B1">
        <w:rPr>
          <w:rFonts w:ascii="Century Schoolbook" w:hAnsi="Century Schoolbook"/>
          <w:szCs w:val="24"/>
        </w:rPr>
        <w:t>(Röntgen)</w:t>
      </w:r>
    </w:p>
    <w:p w14:paraId="08A62CA1" w14:textId="77777777" w:rsidR="00EA3086" w:rsidRPr="006662B1" w:rsidRDefault="00EA3086" w:rsidP="00EA3086">
      <w:pPr>
        <w:pStyle w:val="Ingetavstnd"/>
        <w:rPr>
          <w:rFonts w:ascii="Century Schoolbook" w:hAnsi="Century Schoolbook"/>
          <w:szCs w:val="24"/>
        </w:rPr>
      </w:pPr>
    </w:p>
    <w:p w14:paraId="3EAA87F1" w14:textId="38415C92" w:rsidR="00EA3086" w:rsidRPr="006662B1" w:rsidRDefault="00EA3086" w:rsidP="00EA3086">
      <w:pPr>
        <w:pStyle w:val="Ingetavstnd"/>
        <w:rPr>
          <w:rFonts w:ascii="Century Schoolbook" w:hAnsi="Century Schoolbook"/>
          <w:szCs w:val="24"/>
        </w:rPr>
      </w:pPr>
      <w:r w:rsidRPr="006662B1">
        <w:rPr>
          <w:rFonts w:ascii="Century Schoolbook" w:hAnsi="Century Schoolbook"/>
          <w:szCs w:val="24"/>
        </w:rPr>
        <w:t>Andra vårdgivare i Carlanderskas byggnad (samarbetspartner):</w:t>
      </w:r>
    </w:p>
    <w:p w14:paraId="2EB696A3" w14:textId="528EF0F7" w:rsidR="00EA3086" w:rsidRPr="006662B1" w:rsidRDefault="00EA3086" w:rsidP="00EA3086">
      <w:pPr>
        <w:pStyle w:val="Ingetavstnd"/>
        <w:numPr>
          <w:ilvl w:val="0"/>
          <w:numId w:val="3"/>
        </w:numPr>
        <w:rPr>
          <w:rFonts w:ascii="Century Schoolbook" w:hAnsi="Century Schoolbook"/>
          <w:szCs w:val="24"/>
        </w:rPr>
      </w:pPr>
      <w:r w:rsidRPr="006662B1">
        <w:rPr>
          <w:rFonts w:ascii="Century Schoolbook" w:hAnsi="Century Schoolbook"/>
          <w:szCs w:val="24"/>
        </w:rPr>
        <w:t>UroMedical</w:t>
      </w:r>
    </w:p>
    <w:p w14:paraId="4D86B68F" w14:textId="6093A6CD" w:rsidR="00EA3086" w:rsidRPr="006662B1" w:rsidRDefault="00EA3086" w:rsidP="00EA3086">
      <w:pPr>
        <w:pStyle w:val="Ingetavstnd"/>
        <w:numPr>
          <w:ilvl w:val="0"/>
          <w:numId w:val="3"/>
        </w:numPr>
        <w:rPr>
          <w:rFonts w:ascii="Century Schoolbook" w:hAnsi="Century Schoolbook"/>
          <w:szCs w:val="24"/>
        </w:rPr>
      </w:pPr>
      <w:r w:rsidRPr="006662B1">
        <w:rPr>
          <w:rFonts w:ascii="Century Schoolbook" w:hAnsi="Century Schoolbook"/>
          <w:szCs w:val="24"/>
        </w:rPr>
        <w:t>Carlakliniken</w:t>
      </w:r>
    </w:p>
    <w:p w14:paraId="20E630CE" w14:textId="7DAC232D" w:rsidR="00EA3086" w:rsidRPr="006662B1" w:rsidRDefault="00EA3086" w:rsidP="00EA3086">
      <w:pPr>
        <w:pStyle w:val="Ingetavstnd"/>
        <w:numPr>
          <w:ilvl w:val="0"/>
          <w:numId w:val="3"/>
        </w:numPr>
        <w:rPr>
          <w:rFonts w:ascii="Century Schoolbook" w:hAnsi="Century Schoolbook"/>
          <w:szCs w:val="24"/>
        </w:rPr>
      </w:pPr>
      <w:r w:rsidRPr="006662B1">
        <w:rPr>
          <w:rFonts w:ascii="Century Schoolbook" w:hAnsi="Century Schoolbook"/>
          <w:szCs w:val="24"/>
        </w:rPr>
        <w:t>Capio Neuro Center</w:t>
      </w:r>
    </w:p>
    <w:p w14:paraId="37271284" w14:textId="3957F058" w:rsidR="00EA3086" w:rsidRPr="006662B1" w:rsidRDefault="00EA3086" w:rsidP="00EA3086">
      <w:pPr>
        <w:pStyle w:val="Ingetavstnd"/>
        <w:numPr>
          <w:ilvl w:val="0"/>
          <w:numId w:val="3"/>
        </w:numPr>
        <w:rPr>
          <w:rFonts w:ascii="Century Schoolbook" w:hAnsi="Century Schoolbook"/>
          <w:szCs w:val="24"/>
        </w:rPr>
      </w:pPr>
      <w:r w:rsidRPr="006662B1">
        <w:rPr>
          <w:rFonts w:ascii="Century Schoolbook" w:hAnsi="Century Schoolbook"/>
          <w:szCs w:val="24"/>
        </w:rPr>
        <w:t>Capio Skin</w:t>
      </w:r>
    </w:p>
    <w:p w14:paraId="3E1BD86C" w14:textId="4C992D87" w:rsidR="00EA3086" w:rsidRPr="006662B1" w:rsidRDefault="00EA3086" w:rsidP="00EA3086">
      <w:pPr>
        <w:pStyle w:val="Ingetavstnd"/>
        <w:numPr>
          <w:ilvl w:val="0"/>
          <w:numId w:val="3"/>
        </w:numPr>
        <w:rPr>
          <w:rFonts w:ascii="Century Schoolbook" w:hAnsi="Century Schoolbook"/>
          <w:szCs w:val="24"/>
        </w:rPr>
      </w:pPr>
      <w:r w:rsidRPr="006662B1">
        <w:rPr>
          <w:rFonts w:ascii="Century Schoolbook" w:hAnsi="Century Schoolbook"/>
          <w:szCs w:val="24"/>
        </w:rPr>
        <w:t>SportsMed</w:t>
      </w:r>
    </w:p>
    <w:p w14:paraId="2E68B49A" w14:textId="52B67D34" w:rsidR="00EA3086" w:rsidRPr="006662B1" w:rsidRDefault="00EA3086" w:rsidP="00EA3086">
      <w:pPr>
        <w:pStyle w:val="Ingetavstnd"/>
        <w:numPr>
          <w:ilvl w:val="0"/>
          <w:numId w:val="3"/>
        </w:numPr>
        <w:rPr>
          <w:rFonts w:ascii="Century Schoolbook" w:hAnsi="Century Schoolbook"/>
          <w:szCs w:val="24"/>
        </w:rPr>
      </w:pPr>
      <w:r w:rsidRPr="006662B1">
        <w:rPr>
          <w:rFonts w:ascii="Century Schoolbook" w:hAnsi="Century Schoolbook"/>
          <w:szCs w:val="24"/>
        </w:rPr>
        <w:t>Metabolt Center</w:t>
      </w:r>
    </w:p>
    <w:p w14:paraId="6F35C040" w14:textId="3E1D56FF" w:rsidR="00EA3086" w:rsidRPr="006662B1" w:rsidRDefault="00EA3086" w:rsidP="00EA3086">
      <w:pPr>
        <w:pStyle w:val="Ingetavstnd"/>
        <w:numPr>
          <w:ilvl w:val="0"/>
          <w:numId w:val="3"/>
        </w:numPr>
        <w:rPr>
          <w:rFonts w:ascii="Century Schoolbook" w:hAnsi="Century Schoolbook"/>
          <w:szCs w:val="24"/>
        </w:rPr>
      </w:pPr>
      <w:r w:rsidRPr="006662B1">
        <w:rPr>
          <w:rFonts w:ascii="Century Schoolbook" w:hAnsi="Century Schoolbook"/>
          <w:szCs w:val="24"/>
        </w:rPr>
        <w:t>Mentis</w:t>
      </w:r>
    </w:p>
    <w:p w14:paraId="1BC394EF" w14:textId="05314EE0" w:rsidR="00E306EF" w:rsidRPr="006662B1" w:rsidRDefault="00E306EF" w:rsidP="00EA3086">
      <w:pPr>
        <w:pStyle w:val="Ingetavstnd"/>
        <w:numPr>
          <w:ilvl w:val="0"/>
          <w:numId w:val="3"/>
        </w:numPr>
        <w:rPr>
          <w:rFonts w:ascii="Century Schoolbook" w:hAnsi="Century Schoolbook"/>
          <w:szCs w:val="24"/>
        </w:rPr>
      </w:pPr>
      <w:r w:rsidRPr="006662B1">
        <w:rPr>
          <w:rFonts w:ascii="Century Schoolbook" w:hAnsi="Century Schoolbook"/>
          <w:szCs w:val="24"/>
        </w:rPr>
        <w:t>Ådrakliniken</w:t>
      </w:r>
    </w:p>
    <w:p w14:paraId="050752E1" w14:textId="0D1CC773" w:rsidR="00E306EF" w:rsidRDefault="00E306EF" w:rsidP="00EA3086">
      <w:pPr>
        <w:pStyle w:val="Ingetavstnd"/>
        <w:numPr>
          <w:ilvl w:val="0"/>
          <w:numId w:val="3"/>
        </w:numPr>
        <w:rPr>
          <w:rFonts w:ascii="Century Schoolbook" w:hAnsi="Century Schoolbook"/>
          <w:szCs w:val="24"/>
        </w:rPr>
      </w:pPr>
      <w:r w:rsidRPr="006662B1">
        <w:rPr>
          <w:rFonts w:ascii="Century Schoolbook" w:hAnsi="Century Schoolbook"/>
          <w:szCs w:val="24"/>
        </w:rPr>
        <w:t>Öron-Näsa-Hals Institutet</w:t>
      </w:r>
    </w:p>
    <w:p w14:paraId="0163FD6B" w14:textId="69AE1F8F" w:rsidR="00234EA3" w:rsidRPr="00234EA3" w:rsidRDefault="00234EA3" w:rsidP="00234EA3">
      <w:pPr>
        <w:pStyle w:val="Ingetavstnd"/>
        <w:numPr>
          <w:ilvl w:val="0"/>
          <w:numId w:val="3"/>
        </w:numPr>
        <w:rPr>
          <w:rFonts w:ascii="Century Schoolbook" w:hAnsi="Century Schoolbook"/>
          <w:szCs w:val="24"/>
        </w:rPr>
      </w:pPr>
      <w:r w:rsidRPr="006662B1">
        <w:rPr>
          <w:rFonts w:ascii="Century Schoolbook" w:hAnsi="Century Schoolbook"/>
          <w:szCs w:val="24"/>
        </w:rPr>
        <w:t>MOVMED – Barnobesitas</w:t>
      </w:r>
    </w:p>
    <w:p w14:paraId="69FC40E5" w14:textId="5DA1F0B2" w:rsidR="00E306EF" w:rsidRPr="006662B1" w:rsidRDefault="00E306EF" w:rsidP="00EA3086">
      <w:pPr>
        <w:pStyle w:val="Ingetavstnd"/>
        <w:numPr>
          <w:ilvl w:val="0"/>
          <w:numId w:val="3"/>
        </w:numPr>
        <w:rPr>
          <w:rFonts w:ascii="Century Schoolbook" w:hAnsi="Century Schoolbook"/>
          <w:szCs w:val="24"/>
        </w:rPr>
      </w:pPr>
      <w:r w:rsidRPr="006662B1">
        <w:rPr>
          <w:rFonts w:ascii="Century Schoolbook" w:hAnsi="Century Schoolbook"/>
          <w:szCs w:val="24"/>
        </w:rPr>
        <w:t>Unilabs</w:t>
      </w:r>
    </w:p>
    <w:p w14:paraId="1FF4F16E" w14:textId="77777777" w:rsidR="002E0B9C" w:rsidRPr="00835D0B" w:rsidRDefault="002E0B9C" w:rsidP="00A4529E">
      <w:pPr>
        <w:pBdr>
          <w:bottom w:val="single" w:sz="12" w:space="1" w:color="A6093D"/>
        </w:pBdr>
        <w:rPr>
          <w:rFonts w:ascii="Century Schoolbook" w:hAnsi="Century Schoolbook"/>
          <w:szCs w:val="24"/>
        </w:rPr>
      </w:pPr>
    </w:p>
    <w:p w14:paraId="12DED517" w14:textId="77777777" w:rsidR="00A4529E" w:rsidRDefault="00A4529E" w:rsidP="009477B7">
      <w:pPr>
        <w:pStyle w:val="Ingetavstnd"/>
        <w:rPr>
          <w:rFonts w:ascii="Century Schoolbook" w:hAnsi="Century Schoolbook"/>
        </w:rPr>
      </w:pPr>
    </w:p>
    <w:p w14:paraId="09A19BD1" w14:textId="77777777" w:rsidR="00915555" w:rsidRPr="00835D0B" w:rsidRDefault="00000000" w:rsidP="009477B7">
      <w:pPr>
        <w:pStyle w:val="Ingetavstnd"/>
        <w:rPr>
          <w:rFonts w:ascii="Century Schoolbook" w:hAnsi="Century Schoolbook"/>
          <w:szCs w:val="24"/>
        </w:rPr>
      </w:pPr>
      <w:r w:rsidRPr="00835D0B">
        <w:rPr>
          <w:rFonts w:ascii="Century Schoolbook" w:hAnsi="Century Schoolbook"/>
          <w:szCs w:val="24"/>
        </w:rPr>
        <w:t xml:space="preserve">Mer information finns på </w:t>
      </w:r>
    </w:p>
    <w:p w14:paraId="716D466A" w14:textId="77777777" w:rsidR="00E44547" w:rsidRDefault="00E44547">
      <w:pPr>
        <w:pStyle w:val="Ingetavstnd"/>
        <w:rPr>
          <w:kern w:val="2"/>
          <w:szCs w:val="24"/>
          <w:lang w:eastAsia="sv-SE"/>
          <w14:ligatures w14:val="standardContextual"/>
        </w:rPr>
      </w:pPr>
      <w:r>
        <w:rPr>
          <w:rFonts w:ascii="Century Schoolbook" w:hAnsi="Century Schoolbook"/>
        </w:rPr>
        <w:t>1177.se – Din journal (sök på 1177.se)</w:t>
      </w:r>
    </w:p>
    <w:p w14:paraId="4422C5F4" w14:textId="77777777" w:rsidR="00E44547" w:rsidRDefault="00E44547">
      <w:pPr>
        <w:pStyle w:val="Ingetavstnd"/>
        <w:rPr>
          <w:kern w:val="2"/>
          <w:szCs w:val="24"/>
          <w:lang w:eastAsia="sv-SE"/>
          <w14:ligatures w14:val="standardContextual"/>
        </w:rPr>
      </w:pPr>
      <w:r>
        <w:rPr>
          <w:rFonts w:ascii="Century Schoolbook" w:hAnsi="Century Schoolbook"/>
        </w:rPr>
        <w:t>1177.se – Spärra journaluppgifter (sök på 1177.se)</w:t>
      </w:r>
    </w:p>
    <w:p w14:paraId="70B1FE88" w14:textId="77777777" w:rsidR="00726D9D" w:rsidRPr="00835D0B" w:rsidRDefault="00726D9D" w:rsidP="009477B7">
      <w:pPr>
        <w:pStyle w:val="Ingetavstnd"/>
        <w:rPr>
          <w:rFonts w:ascii="Century Schoolbook" w:hAnsi="Century Schoolbook"/>
          <w:szCs w:val="24"/>
        </w:rPr>
      </w:pPr>
    </w:p>
    <w:p w14:paraId="777EA4E8" w14:textId="77777777" w:rsidR="00726D9D" w:rsidRPr="00835D0B" w:rsidRDefault="00000000" w:rsidP="009477B7">
      <w:pPr>
        <w:pStyle w:val="Ingetavstnd"/>
        <w:rPr>
          <w:rFonts w:ascii="Century Schoolbook" w:hAnsi="Century Schoolbook"/>
          <w:szCs w:val="24"/>
        </w:rPr>
      </w:pPr>
      <w:r w:rsidRPr="00835D0B">
        <w:rPr>
          <w:rFonts w:ascii="Century Schoolbook" w:hAnsi="Century Schoolbook"/>
          <w:szCs w:val="24"/>
        </w:rPr>
        <w:t>För att komma i kontakt med Stiftelsen Carlanderska Sjukhuset:</w:t>
      </w:r>
    </w:p>
    <w:p w14:paraId="50896213" w14:textId="77777777" w:rsidR="00754601" w:rsidRPr="00835D0B" w:rsidRDefault="00000000" w:rsidP="003B18A6">
      <w:pPr>
        <w:pStyle w:val="Ingetavstnd"/>
        <w:rPr>
          <w:rFonts w:ascii="Century Schoolbook" w:hAnsi="Century Schoolbook"/>
          <w:szCs w:val="24"/>
        </w:rPr>
      </w:pPr>
      <w:r w:rsidRPr="00835D0B">
        <w:rPr>
          <w:rFonts w:ascii="Century Schoolbook" w:hAnsi="Century Schoolbook"/>
          <w:szCs w:val="24"/>
        </w:rPr>
        <w:t>Växel: 031-81 80 00</w:t>
      </w:r>
    </w:p>
    <w:p w14:paraId="41844E3D" w14:textId="77777777" w:rsidR="00C073B7" w:rsidRPr="00835D0B" w:rsidRDefault="00000000" w:rsidP="003B18A6">
      <w:pPr>
        <w:pStyle w:val="Ingetavstnd"/>
        <w:rPr>
          <w:rFonts w:ascii="Century Schoolbook" w:hAnsi="Century Schoolbook"/>
          <w:szCs w:val="24"/>
        </w:rPr>
      </w:pPr>
      <w:r w:rsidRPr="00835D0B">
        <w:rPr>
          <w:rFonts w:ascii="Century Schoolbook" w:hAnsi="Century Schoolbook"/>
          <w:szCs w:val="24"/>
        </w:rPr>
        <w:t>För kontaktuppgifter till respektive mottagning se vår h</w:t>
      </w:r>
      <w:r w:rsidR="0072734D" w:rsidRPr="00835D0B">
        <w:rPr>
          <w:rFonts w:ascii="Century Schoolbook" w:hAnsi="Century Schoolbook"/>
          <w:szCs w:val="24"/>
        </w:rPr>
        <w:t xml:space="preserve">emsida: </w:t>
      </w:r>
    </w:p>
    <w:p w14:paraId="0BBA641D" w14:textId="77777777" w:rsidR="0072734D" w:rsidRPr="00357E6D" w:rsidRDefault="00446600" w:rsidP="003B18A6">
      <w:pPr>
        <w:pStyle w:val="Ingetavstnd"/>
        <w:rPr>
          <w:rFonts w:ascii="Century Schoolbook" w:hAnsi="Century Schoolbook"/>
        </w:rPr>
      </w:pPr>
      <w:hyperlink r:id="rId6" w:history="1">
        <w:r w:rsidRPr="00835D0B">
          <w:rPr>
            <w:rStyle w:val="Hyperlnk"/>
            <w:rFonts w:ascii="Century Schoolbook" w:hAnsi="Century Schoolbook"/>
          </w:rPr>
          <w:t>Carlanderska | Möjligheternas sjukhus</w:t>
        </w:r>
      </w:hyperlink>
      <w:r w:rsidRPr="00835D0B">
        <w:rPr>
          <w:rFonts w:ascii="Century Schoolbook" w:hAnsi="Century Schoolbook"/>
        </w:rPr>
        <w:t>, carlanderska.se</w:t>
      </w:r>
    </w:p>
    <w:sectPr w:rsidR="0072734D" w:rsidRPr="00357E6D" w:rsidSect="001C20D7">
      <w:pgSz w:w="11906" w:h="16838"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101"/>
    <w:multiLevelType w:val="hybridMultilevel"/>
    <w:tmpl w:val="0214201A"/>
    <w:lvl w:ilvl="0" w:tplc="CF963E3C">
      <w:start w:val="1"/>
      <w:numFmt w:val="bullet"/>
      <w:lvlText w:val=""/>
      <w:lvlJc w:val="left"/>
      <w:pPr>
        <w:ind w:left="720" w:hanging="360"/>
      </w:pPr>
      <w:rPr>
        <w:rFonts w:ascii="Wingdings" w:hAnsi="Wingdings" w:hint="default"/>
      </w:rPr>
    </w:lvl>
    <w:lvl w:ilvl="1" w:tplc="F1F87B68" w:tentative="1">
      <w:start w:val="1"/>
      <w:numFmt w:val="bullet"/>
      <w:lvlText w:val="o"/>
      <w:lvlJc w:val="left"/>
      <w:pPr>
        <w:ind w:left="1440" w:hanging="360"/>
      </w:pPr>
      <w:rPr>
        <w:rFonts w:ascii="Courier New" w:hAnsi="Courier New" w:cs="Courier New" w:hint="default"/>
      </w:rPr>
    </w:lvl>
    <w:lvl w:ilvl="2" w:tplc="CCFC99DC" w:tentative="1">
      <w:start w:val="1"/>
      <w:numFmt w:val="bullet"/>
      <w:lvlText w:val=""/>
      <w:lvlJc w:val="left"/>
      <w:pPr>
        <w:ind w:left="2160" w:hanging="360"/>
      </w:pPr>
      <w:rPr>
        <w:rFonts w:ascii="Wingdings" w:hAnsi="Wingdings" w:hint="default"/>
      </w:rPr>
    </w:lvl>
    <w:lvl w:ilvl="3" w:tplc="085E53A4" w:tentative="1">
      <w:start w:val="1"/>
      <w:numFmt w:val="bullet"/>
      <w:lvlText w:val=""/>
      <w:lvlJc w:val="left"/>
      <w:pPr>
        <w:ind w:left="2880" w:hanging="360"/>
      </w:pPr>
      <w:rPr>
        <w:rFonts w:ascii="Symbol" w:hAnsi="Symbol" w:hint="default"/>
      </w:rPr>
    </w:lvl>
    <w:lvl w:ilvl="4" w:tplc="14E88168" w:tentative="1">
      <w:start w:val="1"/>
      <w:numFmt w:val="bullet"/>
      <w:lvlText w:val="o"/>
      <w:lvlJc w:val="left"/>
      <w:pPr>
        <w:ind w:left="3600" w:hanging="360"/>
      </w:pPr>
      <w:rPr>
        <w:rFonts w:ascii="Courier New" w:hAnsi="Courier New" w:cs="Courier New" w:hint="default"/>
      </w:rPr>
    </w:lvl>
    <w:lvl w:ilvl="5" w:tplc="EF0E9C94" w:tentative="1">
      <w:start w:val="1"/>
      <w:numFmt w:val="bullet"/>
      <w:lvlText w:val=""/>
      <w:lvlJc w:val="left"/>
      <w:pPr>
        <w:ind w:left="4320" w:hanging="360"/>
      </w:pPr>
      <w:rPr>
        <w:rFonts w:ascii="Wingdings" w:hAnsi="Wingdings" w:hint="default"/>
      </w:rPr>
    </w:lvl>
    <w:lvl w:ilvl="6" w:tplc="5A40D576" w:tentative="1">
      <w:start w:val="1"/>
      <w:numFmt w:val="bullet"/>
      <w:lvlText w:val=""/>
      <w:lvlJc w:val="left"/>
      <w:pPr>
        <w:ind w:left="5040" w:hanging="360"/>
      </w:pPr>
      <w:rPr>
        <w:rFonts w:ascii="Symbol" w:hAnsi="Symbol" w:hint="default"/>
      </w:rPr>
    </w:lvl>
    <w:lvl w:ilvl="7" w:tplc="90B62360" w:tentative="1">
      <w:start w:val="1"/>
      <w:numFmt w:val="bullet"/>
      <w:lvlText w:val="o"/>
      <w:lvlJc w:val="left"/>
      <w:pPr>
        <w:ind w:left="5760" w:hanging="360"/>
      </w:pPr>
      <w:rPr>
        <w:rFonts w:ascii="Courier New" w:hAnsi="Courier New" w:cs="Courier New" w:hint="default"/>
      </w:rPr>
    </w:lvl>
    <w:lvl w:ilvl="8" w:tplc="67603E1A" w:tentative="1">
      <w:start w:val="1"/>
      <w:numFmt w:val="bullet"/>
      <w:lvlText w:val=""/>
      <w:lvlJc w:val="left"/>
      <w:pPr>
        <w:ind w:left="6480" w:hanging="360"/>
      </w:pPr>
      <w:rPr>
        <w:rFonts w:ascii="Wingdings" w:hAnsi="Wingdings" w:hint="default"/>
      </w:rPr>
    </w:lvl>
  </w:abstractNum>
  <w:abstractNum w:abstractNumId="1" w15:restartNumberingAfterBreak="0">
    <w:nsid w:val="507F6ABC"/>
    <w:multiLevelType w:val="hybridMultilevel"/>
    <w:tmpl w:val="152E00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373A0A"/>
    <w:multiLevelType w:val="hybridMultilevel"/>
    <w:tmpl w:val="1DD84280"/>
    <w:lvl w:ilvl="0" w:tplc="64660CEE">
      <w:start w:val="1"/>
      <w:numFmt w:val="bullet"/>
      <w:lvlText w:val=""/>
      <w:lvlJc w:val="left"/>
      <w:pPr>
        <w:ind w:left="720" w:hanging="360"/>
      </w:pPr>
      <w:rPr>
        <w:rFonts w:ascii="Symbol" w:hAnsi="Symbol" w:hint="default"/>
      </w:rPr>
    </w:lvl>
    <w:lvl w:ilvl="1" w:tplc="418CEBE6" w:tentative="1">
      <w:start w:val="1"/>
      <w:numFmt w:val="bullet"/>
      <w:lvlText w:val="o"/>
      <w:lvlJc w:val="left"/>
      <w:pPr>
        <w:ind w:left="1440" w:hanging="360"/>
      </w:pPr>
      <w:rPr>
        <w:rFonts w:ascii="Courier New" w:hAnsi="Courier New" w:cs="Courier New" w:hint="default"/>
      </w:rPr>
    </w:lvl>
    <w:lvl w:ilvl="2" w:tplc="800E38E2" w:tentative="1">
      <w:start w:val="1"/>
      <w:numFmt w:val="bullet"/>
      <w:lvlText w:val=""/>
      <w:lvlJc w:val="left"/>
      <w:pPr>
        <w:ind w:left="2160" w:hanging="360"/>
      </w:pPr>
      <w:rPr>
        <w:rFonts w:ascii="Wingdings" w:hAnsi="Wingdings" w:hint="default"/>
      </w:rPr>
    </w:lvl>
    <w:lvl w:ilvl="3" w:tplc="BD6AFE9E" w:tentative="1">
      <w:start w:val="1"/>
      <w:numFmt w:val="bullet"/>
      <w:lvlText w:val=""/>
      <w:lvlJc w:val="left"/>
      <w:pPr>
        <w:ind w:left="2880" w:hanging="360"/>
      </w:pPr>
      <w:rPr>
        <w:rFonts w:ascii="Symbol" w:hAnsi="Symbol" w:hint="default"/>
      </w:rPr>
    </w:lvl>
    <w:lvl w:ilvl="4" w:tplc="81449780" w:tentative="1">
      <w:start w:val="1"/>
      <w:numFmt w:val="bullet"/>
      <w:lvlText w:val="o"/>
      <w:lvlJc w:val="left"/>
      <w:pPr>
        <w:ind w:left="3600" w:hanging="360"/>
      </w:pPr>
      <w:rPr>
        <w:rFonts w:ascii="Courier New" w:hAnsi="Courier New" w:cs="Courier New" w:hint="default"/>
      </w:rPr>
    </w:lvl>
    <w:lvl w:ilvl="5" w:tplc="A14EC93E" w:tentative="1">
      <w:start w:val="1"/>
      <w:numFmt w:val="bullet"/>
      <w:lvlText w:val=""/>
      <w:lvlJc w:val="left"/>
      <w:pPr>
        <w:ind w:left="4320" w:hanging="360"/>
      </w:pPr>
      <w:rPr>
        <w:rFonts w:ascii="Wingdings" w:hAnsi="Wingdings" w:hint="default"/>
      </w:rPr>
    </w:lvl>
    <w:lvl w:ilvl="6" w:tplc="DDDCE4F2" w:tentative="1">
      <w:start w:val="1"/>
      <w:numFmt w:val="bullet"/>
      <w:lvlText w:val=""/>
      <w:lvlJc w:val="left"/>
      <w:pPr>
        <w:ind w:left="5040" w:hanging="360"/>
      </w:pPr>
      <w:rPr>
        <w:rFonts w:ascii="Symbol" w:hAnsi="Symbol" w:hint="default"/>
      </w:rPr>
    </w:lvl>
    <w:lvl w:ilvl="7" w:tplc="CA98B05E" w:tentative="1">
      <w:start w:val="1"/>
      <w:numFmt w:val="bullet"/>
      <w:lvlText w:val="o"/>
      <w:lvlJc w:val="left"/>
      <w:pPr>
        <w:ind w:left="5760" w:hanging="360"/>
      </w:pPr>
      <w:rPr>
        <w:rFonts w:ascii="Courier New" w:hAnsi="Courier New" w:cs="Courier New" w:hint="default"/>
      </w:rPr>
    </w:lvl>
    <w:lvl w:ilvl="8" w:tplc="B494359C" w:tentative="1">
      <w:start w:val="1"/>
      <w:numFmt w:val="bullet"/>
      <w:lvlText w:val=""/>
      <w:lvlJc w:val="left"/>
      <w:pPr>
        <w:ind w:left="6480" w:hanging="360"/>
      </w:pPr>
      <w:rPr>
        <w:rFonts w:ascii="Wingdings" w:hAnsi="Wingdings" w:hint="default"/>
      </w:rPr>
    </w:lvl>
  </w:abstractNum>
  <w:num w:numId="1" w16cid:durableId="1151556425">
    <w:abstractNumId w:val="2"/>
  </w:num>
  <w:num w:numId="2" w16cid:durableId="461462116">
    <w:abstractNumId w:val="0"/>
  </w:num>
  <w:num w:numId="3" w16cid:durableId="40573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9C"/>
    <w:rsid w:val="000217A9"/>
    <w:rsid w:val="000375CC"/>
    <w:rsid w:val="00075455"/>
    <w:rsid w:val="000C2C4D"/>
    <w:rsid w:val="000F0F44"/>
    <w:rsid w:val="000F180B"/>
    <w:rsid w:val="000F5C06"/>
    <w:rsid w:val="000F6913"/>
    <w:rsid w:val="001152A4"/>
    <w:rsid w:val="00157821"/>
    <w:rsid w:val="00185FC2"/>
    <w:rsid w:val="0019527E"/>
    <w:rsid w:val="001C20D7"/>
    <w:rsid w:val="001C6DF9"/>
    <w:rsid w:val="001D0140"/>
    <w:rsid w:val="001D1998"/>
    <w:rsid w:val="001E7795"/>
    <w:rsid w:val="001F3422"/>
    <w:rsid w:val="002064A2"/>
    <w:rsid w:val="00214272"/>
    <w:rsid w:val="002276A2"/>
    <w:rsid w:val="00234EA3"/>
    <w:rsid w:val="00237206"/>
    <w:rsid w:val="002418E1"/>
    <w:rsid w:val="00247E32"/>
    <w:rsid w:val="002526C4"/>
    <w:rsid w:val="00274449"/>
    <w:rsid w:val="00284076"/>
    <w:rsid w:val="00284B8E"/>
    <w:rsid w:val="0029395F"/>
    <w:rsid w:val="002C2D3B"/>
    <w:rsid w:val="002D0A85"/>
    <w:rsid w:val="002E0B9C"/>
    <w:rsid w:val="00315FA9"/>
    <w:rsid w:val="0033398D"/>
    <w:rsid w:val="003340A1"/>
    <w:rsid w:val="00344686"/>
    <w:rsid w:val="003533C8"/>
    <w:rsid w:val="00353F48"/>
    <w:rsid w:val="00357E6D"/>
    <w:rsid w:val="0036437D"/>
    <w:rsid w:val="00370FF4"/>
    <w:rsid w:val="00394B91"/>
    <w:rsid w:val="003A6DCC"/>
    <w:rsid w:val="003A7883"/>
    <w:rsid w:val="003B18A6"/>
    <w:rsid w:val="003B3B3F"/>
    <w:rsid w:val="003D22BC"/>
    <w:rsid w:val="004061C7"/>
    <w:rsid w:val="00407005"/>
    <w:rsid w:val="00407CB3"/>
    <w:rsid w:val="004129BF"/>
    <w:rsid w:val="00416F9C"/>
    <w:rsid w:val="004173AC"/>
    <w:rsid w:val="00446600"/>
    <w:rsid w:val="0045071E"/>
    <w:rsid w:val="004700A4"/>
    <w:rsid w:val="004A1188"/>
    <w:rsid w:val="004A1C39"/>
    <w:rsid w:val="004A38ED"/>
    <w:rsid w:val="004A43F7"/>
    <w:rsid w:val="004A5671"/>
    <w:rsid w:val="004E3C17"/>
    <w:rsid w:val="00515386"/>
    <w:rsid w:val="00523CF0"/>
    <w:rsid w:val="00540E78"/>
    <w:rsid w:val="00552092"/>
    <w:rsid w:val="00553522"/>
    <w:rsid w:val="0056209A"/>
    <w:rsid w:val="0056522C"/>
    <w:rsid w:val="00570802"/>
    <w:rsid w:val="005A13CE"/>
    <w:rsid w:val="005A13E2"/>
    <w:rsid w:val="005C6041"/>
    <w:rsid w:val="005D76EB"/>
    <w:rsid w:val="0063140F"/>
    <w:rsid w:val="00634D34"/>
    <w:rsid w:val="0064343F"/>
    <w:rsid w:val="00657822"/>
    <w:rsid w:val="0066192E"/>
    <w:rsid w:val="006662B1"/>
    <w:rsid w:val="00667DE0"/>
    <w:rsid w:val="00691C9C"/>
    <w:rsid w:val="00694088"/>
    <w:rsid w:val="006A1951"/>
    <w:rsid w:val="006C20B9"/>
    <w:rsid w:val="006D56A2"/>
    <w:rsid w:val="007065D4"/>
    <w:rsid w:val="0072103A"/>
    <w:rsid w:val="00726D9D"/>
    <w:rsid w:val="0072734D"/>
    <w:rsid w:val="00746C3D"/>
    <w:rsid w:val="00754601"/>
    <w:rsid w:val="00767E5C"/>
    <w:rsid w:val="00774077"/>
    <w:rsid w:val="00780DDE"/>
    <w:rsid w:val="0081083B"/>
    <w:rsid w:val="008209EA"/>
    <w:rsid w:val="008353B4"/>
    <w:rsid w:val="008353DD"/>
    <w:rsid w:val="00835B12"/>
    <w:rsid w:val="00835D0B"/>
    <w:rsid w:val="008A5044"/>
    <w:rsid w:val="008B08C6"/>
    <w:rsid w:val="008B3BD0"/>
    <w:rsid w:val="008D23C2"/>
    <w:rsid w:val="008D47C9"/>
    <w:rsid w:val="008D5C0D"/>
    <w:rsid w:val="008F18E2"/>
    <w:rsid w:val="008F63B9"/>
    <w:rsid w:val="00915555"/>
    <w:rsid w:val="00916673"/>
    <w:rsid w:val="009477B7"/>
    <w:rsid w:val="00955247"/>
    <w:rsid w:val="00955FB9"/>
    <w:rsid w:val="00977AC4"/>
    <w:rsid w:val="009923FF"/>
    <w:rsid w:val="00993F9F"/>
    <w:rsid w:val="009C68E6"/>
    <w:rsid w:val="009F6F75"/>
    <w:rsid w:val="00A0098C"/>
    <w:rsid w:val="00A00BAC"/>
    <w:rsid w:val="00A4529E"/>
    <w:rsid w:val="00A72C91"/>
    <w:rsid w:val="00A7409E"/>
    <w:rsid w:val="00AA06F7"/>
    <w:rsid w:val="00AD2E1A"/>
    <w:rsid w:val="00AD50FD"/>
    <w:rsid w:val="00AD519B"/>
    <w:rsid w:val="00AD64F0"/>
    <w:rsid w:val="00B37CFE"/>
    <w:rsid w:val="00B8680A"/>
    <w:rsid w:val="00BB6613"/>
    <w:rsid w:val="00BF2820"/>
    <w:rsid w:val="00BF356B"/>
    <w:rsid w:val="00C01435"/>
    <w:rsid w:val="00C03D94"/>
    <w:rsid w:val="00C073B7"/>
    <w:rsid w:val="00C11084"/>
    <w:rsid w:val="00C20CAD"/>
    <w:rsid w:val="00C34DD8"/>
    <w:rsid w:val="00C536B9"/>
    <w:rsid w:val="00C91EA7"/>
    <w:rsid w:val="00CA5C5A"/>
    <w:rsid w:val="00CC47C9"/>
    <w:rsid w:val="00D432AB"/>
    <w:rsid w:val="00D61609"/>
    <w:rsid w:val="00D62D39"/>
    <w:rsid w:val="00D97BC7"/>
    <w:rsid w:val="00E133A1"/>
    <w:rsid w:val="00E306EF"/>
    <w:rsid w:val="00E44547"/>
    <w:rsid w:val="00E53E23"/>
    <w:rsid w:val="00E5433F"/>
    <w:rsid w:val="00E9280C"/>
    <w:rsid w:val="00EA3086"/>
    <w:rsid w:val="00EA6183"/>
    <w:rsid w:val="00EA7395"/>
    <w:rsid w:val="00EB1018"/>
    <w:rsid w:val="00EB223D"/>
    <w:rsid w:val="00EC2365"/>
    <w:rsid w:val="00EE29CC"/>
    <w:rsid w:val="00F25C7F"/>
    <w:rsid w:val="00F3336A"/>
    <w:rsid w:val="00F40EB5"/>
    <w:rsid w:val="00F46B56"/>
    <w:rsid w:val="00F64199"/>
    <w:rsid w:val="00F6602E"/>
    <w:rsid w:val="00F97B19"/>
    <w:rsid w:val="00FA22DF"/>
    <w:rsid w:val="00FA4792"/>
    <w:rsid w:val="00FB758F"/>
    <w:rsid w:val="00FB76F6"/>
    <w:rsid w:val="00FD0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C308"/>
  <w15:chartTrackingRefBased/>
  <w15:docId w15:val="{7C235271-F7A5-4845-9FF1-AD628B5D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ngetavstnd"/>
    <w:qFormat/>
    <w:rsid w:val="000F5C06"/>
    <w:pPr>
      <w:spacing w:after="0" w:line="240" w:lineRule="auto"/>
    </w:pPr>
    <w:rPr>
      <w:rFonts w:ascii="Times New Roman" w:hAnsi="Times New Roman"/>
      <w:sz w:val="24"/>
    </w:rPr>
  </w:style>
  <w:style w:type="paragraph" w:styleId="Rubrik1">
    <w:name w:val="heading 1"/>
    <w:next w:val="Ingetavstnd"/>
    <w:link w:val="Rubrik1Char"/>
    <w:uiPriority w:val="9"/>
    <w:qFormat/>
    <w:rsid w:val="000F5C06"/>
    <w:pPr>
      <w:keepNext/>
      <w:keepLines/>
      <w:spacing w:after="0" w:line="240" w:lineRule="auto"/>
      <w:outlineLvl w:val="0"/>
    </w:pPr>
    <w:rPr>
      <w:rFonts w:ascii="Times New Roman" w:eastAsiaTheme="majorEastAsia" w:hAnsi="Times New Roman" w:cstheme="majorBidi"/>
      <w:b/>
      <w:bCs/>
      <w:sz w:val="28"/>
      <w:szCs w:val="28"/>
    </w:rPr>
  </w:style>
  <w:style w:type="paragraph" w:styleId="Rubrik2">
    <w:name w:val="heading 2"/>
    <w:next w:val="Ingetavstnd"/>
    <w:link w:val="Rubrik2Char"/>
    <w:uiPriority w:val="9"/>
    <w:unhideWhenUsed/>
    <w:qFormat/>
    <w:rsid w:val="000F5C06"/>
    <w:pPr>
      <w:keepNext/>
      <w:keepLines/>
      <w:spacing w:after="0" w:line="240" w:lineRule="auto"/>
      <w:outlineLvl w:val="1"/>
    </w:pPr>
    <w:rPr>
      <w:rFonts w:ascii="Times New Roman" w:eastAsiaTheme="majorEastAsia" w:hAnsi="Times New Roman" w:cstheme="majorBidi"/>
      <w:b/>
      <w:bCs/>
      <w:sz w:val="26"/>
      <w:szCs w:val="26"/>
    </w:rPr>
  </w:style>
  <w:style w:type="paragraph" w:styleId="Rubrik3">
    <w:name w:val="heading 3"/>
    <w:basedOn w:val="Normal"/>
    <w:next w:val="Normal"/>
    <w:link w:val="Rubrik3Char"/>
    <w:uiPriority w:val="9"/>
    <w:unhideWhenUsed/>
    <w:qFormat/>
    <w:rsid w:val="008F63B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5C06"/>
    <w:rPr>
      <w:rFonts w:ascii="Times New Roman" w:eastAsiaTheme="majorEastAsia" w:hAnsi="Times New Roman" w:cstheme="majorBidi"/>
      <w:b/>
      <w:bCs/>
      <w:sz w:val="28"/>
      <w:szCs w:val="28"/>
    </w:rPr>
  </w:style>
  <w:style w:type="character" w:customStyle="1" w:styleId="Rubrik2Char">
    <w:name w:val="Rubrik 2 Char"/>
    <w:basedOn w:val="Standardstycketeckensnitt"/>
    <w:link w:val="Rubrik2"/>
    <w:uiPriority w:val="9"/>
    <w:rsid w:val="000F5C06"/>
    <w:rPr>
      <w:rFonts w:ascii="Times New Roman" w:eastAsiaTheme="majorEastAsia" w:hAnsi="Times New Roman" w:cstheme="majorBidi"/>
      <w:b/>
      <w:bCs/>
      <w:sz w:val="26"/>
      <w:szCs w:val="26"/>
    </w:rPr>
  </w:style>
  <w:style w:type="paragraph" w:styleId="Rubrik">
    <w:name w:val="Title"/>
    <w:next w:val="Ingetavstnd"/>
    <w:link w:val="RubrikChar"/>
    <w:uiPriority w:val="10"/>
    <w:qFormat/>
    <w:rsid w:val="000F5C06"/>
    <w:pPr>
      <w:pBdr>
        <w:bottom w:val="single" w:sz="8" w:space="4" w:color="4F81BD" w:themeColor="accent1"/>
      </w:pBdr>
      <w:spacing w:after="0" w:line="240" w:lineRule="auto"/>
      <w:contextualSpacing/>
    </w:pPr>
    <w:rPr>
      <w:rFonts w:ascii="Times New Roman" w:eastAsiaTheme="majorEastAsia" w:hAnsi="Times New Roman" w:cstheme="majorBidi"/>
      <w:spacing w:val="5"/>
      <w:kern w:val="28"/>
      <w:sz w:val="52"/>
      <w:szCs w:val="52"/>
    </w:rPr>
  </w:style>
  <w:style w:type="character" w:customStyle="1" w:styleId="RubrikChar">
    <w:name w:val="Rubrik Char"/>
    <w:basedOn w:val="Standardstycketeckensnitt"/>
    <w:link w:val="Rubrik"/>
    <w:uiPriority w:val="10"/>
    <w:rsid w:val="000F5C06"/>
    <w:rPr>
      <w:rFonts w:ascii="Times New Roman" w:eastAsiaTheme="majorEastAsia" w:hAnsi="Times New Roman" w:cstheme="majorBidi"/>
      <w:spacing w:val="5"/>
      <w:kern w:val="28"/>
      <w:sz w:val="52"/>
      <w:szCs w:val="52"/>
    </w:rPr>
  </w:style>
  <w:style w:type="paragraph" w:styleId="Underrubrik">
    <w:name w:val="Subtitle"/>
    <w:next w:val="Ingetavstnd"/>
    <w:link w:val="UnderrubrikChar"/>
    <w:uiPriority w:val="11"/>
    <w:qFormat/>
    <w:rsid w:val="000F5C06"/>
    <w:pPr>
      <w:numPr>
        <w:ilvl w:val="1"/>
      </w:numPr>
      <w:spacing w:after="0" w:line="240" w:lineRule="auto"/>
    </w:pPr>
    <w:rPr>
      <w:rFonts w:ascii="Times New Roman" w:eastAsiaTheme="majorEastAsia" w:hAnsi="Times New Roman" w:cstheme="majorBidi"/>
      <w:i/>
      <w:iCs/>
      <w:spacing w:val="15"/>
      <w:sz w:val="24"/>
      <w:szCs w:val="24"/>
    </w:rPr>
  </w:style>
  <w:style w:type="character" w:customStyle="1" w:styleId="UnderrubrikChar">
    <w:name w:val="Underrubrik Char"/>
    <w:basedOn w:val="Standardstycketeckensnitt"/>
    <w:link w:val="Underrubrik"/>
    <w:uiPriority w:val="11"/>
    <w:rsid w:val="000F5C06"/>
    <w:rPr>
      <w:rFonts w:ascii="Times New Roman" w:eastAsiaTheme="majorEastAsia" w:hAnsi="Times New Roman" w:cstheme="majorBidi"/>
      <w:i/>
      <w:iCs/>
      <w:spacing w:val="15"/>
      <w:sz w:val="24"/>
      <w:szCs w:val="24"/>
    </w:rPr>
  </w:style>
  <w:style w:type="paragraph" w:styleId="Citat">
    <w:name w:val="Quote"/>
    <w:next w:val="Ingetavstnd"/>
    <w:link w:val="CitatChar"/>
    <w:uiPriority w:val="29"/>
    <w:qFormat/>
    <w:rsid w:val="000F5C06"/>
    <w:pPr>
      <w:spacing w:after="0" w:line="240" w:lineRule="auto"/>
    </w:pPr>
    <w:rPr>
      <w:rFonts w:ascii="Times New Roman" w:hAnsi="Times New Roman"/>
      <w:i/>
      <w:iCs/>
      <w:sz w:val="24"/>
    </w:rPr>
  </w:style>
  <w:style w:type="paragraph" w:styleId="Ingetavstnd">
    <w:name w:val="No Spacing"/>
    <w:uiPriority w:val="1"/>
    <w:qFormat/>
    <w:rsid w:val="000F5C06"/>
    <w:pPr>
      <w:spacing w:after="0" w:line="240" w:lineRule="auto"/>
    </w:pPr>
    <w:rPr>
      <w:rFonts w:ascii="Times New Roman" w:hAnsi="Times New Roman"/>
      <w:sz w:val="24"/>
    </w:rPr>
  </w:style>
  <w:style w:type="character" w:customStyle="1" w:styleId="CitatChar">
    <w:name w:val="Citat Char"/>
    <w:basedOn w:val="Standardstycketeckensnitt"/>
    <w:link w:val="Citat"/>
    <w:uiPriority w:val="29"/>
    <w:rsid w:val="000F5C06"/>
    <w:rPr>
      <w:rFonts w:ascii="Times New Roman" w:hAnsi="Times New Roman"/>
      <w:i/>
      <w:iCs/>
      <w:sz w:val="24"/>
    </w:rPr>
  </w:style>
  <w:style w:type="paragraph" w:styleId="Starktcitat">
    <w:name w:val="Intense Quote"/>
    <w:next w:val="Ingetavstnd"/>
    <w:link w:val="StarktcitatChar"/>
    <w:uiPriority w:val="30"/>
    <w:qFormat/>
    <w:rsid w:val="000F5C06"/>
    <w:pPr>
      <w:pBdr>
        <w:bottom w:val="single" w:sz="4" w:space="4" w:color="4F81BD" w:themeColor="accent1"/>
      </w:pBdr>
      <w:spacing w:after="0" w:line="240" w:lineRule="auto"/>
      <w:ind w:left="936" w:right="936"/>
    </w:pPr>
    <w:rPr>
      <w:rFonts w:ascii="Times New Roman" w:hAnsi="Times New Roman"/>
      <w:b/>
      <w:bCs/>
      <w:i/>
      <w:iCs/>
      <w:sz w:val="24"/>
    </w:rPr>
  </w:style>
  <w:style w:type="character" w:customStyle="1" w:styleId="StarktcitatChar">
    <w:name w:val="Starkt citat Char"/>
    <w:basedOn w:val="Standardstycketeckensnitt"/>
    <w:link w:val="Starktcitat"/>
    <w:uiPriority w:val="30"/>
    <w:rsid w:val="000F5C06"/>
    <w:rPr>
      <w:rFonts w:ascii="Times New Roman" w:hAnsi="Times New Roman"/>
      <w:b/>
      <w:bCs/>
      <w:i/>
      <w:iCs/>
      <w:sz w:val="24"/>
    </w:rPr>
  </w:style>
  <w:style w:type="paragraph" w:styleId="Liststycke">
    <w:name w:val="List Paragraph"/>
    <w:next w:val="Ingetavstnd"/>
    <w:uiPriority w:val="34"/>
    <w:qFormat/>
    <w:rsid w:val="000F5C06"/>
    <w:pPr>
      <w:spacing w:after="0" w:line="240" w:lineRule="auto"/>
      <w:ind w:left="720"/>
      <w:contextualSpacing/>
    </w:pPr>
    <w:rPr>
      <w:rFonts w:ascii="Times New Roman" w:hAnsi="Times New Roman"/>
      <w:sz w:val="24"/>
    </w:rPr>
  </w:style>
  <w:style w:type="character" w:styleId="Starkbetoning">
    <w:name w:val="Intense Emphasis"/>
    <w:basedOn w:val="Standardstycketeckensnitt"/>
    <w:uiPriority w:val="21"/>
    <w:qFormat/>
    <w:rsid w:val="00EE29CC"/>
    <w:rPr>
      <w:b/>
      <w:bCs/>
      <w:i/>
      <w:iCs/>
      <w:color w:val="auto"/>
    </w:rPr>
  </w:style>
  <w:style w:type="character" w:styleId="Diskretbetoning">
    <w:name w:val="Subtle Emphasis"/>
    <w:basedOn w:val="Standardstycketeckensnitt"/>
    <w:uiPriority w:val="19"/>
    <w:qFormat/>
    <w:rsid w:val="00EE29CC"/>
    <w:rPr>
      <w:i/>
      <w:iCs/>
      <w:color w:val="auto"/>
    </w:rPr>
  </w:style>
  <w:style w:type="character" w:styleId="Diskretreferens">
    <w:name w:val="Subtle Reference"/>
    <w:basedOn w:val="Standardstycketeckensnitt"/>
    <w:uiPriority w:val="31"/>
    <w:qFormat/>
    <w:rsid w:val="00EE29CC"/>
    <w:rPr>
      <w:smallCaps/>
      <w:color w:val="auto"/>
      <w:u w:val="single"/>
    </w:rPr>
  </w:style>
  <w:style w:type="character" w:styleId="Starkreferens">
    <w:name w:val="Intense Reference"/>
    <w:basedOn w:val="Standardstycketeckensnitt"/>
    <w:uiPriority w:val="32"/>
    <w:qFormat/>
    <w:rsid w:val="000F5C06"/>
    <w:rPr>
      <w:b/>
      <w:bCs/>
      <w:smallCaps/>
      <w:color w:val="auto"/>
      <w:spacing w:val="5"/>
      <w:u w:val="single"/>
    </w:rPr>
  </w:style>
  <w:style w:type="paragraph" w:styleId="Sidhuvud">
    <w:name w:val="header"/>
    <w:basedOn w:val="Normal"/>
    <w:link w:val="SidhuvudChar"/>
    <w:uiPriority w:val="99"/>
    <w:unhideWhenUsed/>
    <w:rsid w:val="002E0B9C"/>
    <w:pPr>
      <w:tabs>
        <w:tab w:val="center" w:pos="4536"/>
        <w:tab w:val="right" w:pos="9072"/>
      </w:tabs>
    </w:pPr>
  </w:style>
  <w:style w:type="character" w:customStyle="1" w:styleId="SidhuvudChar">
    <w:name w:val="Sidhuvud Char"/>
    <w:basedOn w:val="Standardstycketeckensnitt"/>
    <w:link w:val="Sidhuvud"/>
    <w:uiPriority w:val="99"/>
    <w:rsid w:val="002E0B9C"/>
    <w:rPr>
      <w:rFonts w:ascii="Times New Roman" w:hAnsi="Times New Roman"/>
      <w:sz w:val="24"/>
    </w:rPr>
  </w:style>
  <w:style w:type="paragraph" w:styleId="Sidfot">
    <w:name w:val="footer"/>
    <w:basedOn w:val="Normal"/>
    <w:link w:val="SidfotChar"/>
    <w:uiPriority w:val="99"/>
    <w:unhideWhenUsed/>
    <w:rsid w:val="002E0B9C"/>
    <w:pPr>
      <w:tabs>
        <w:tab w:val="center" w:pos="4536"/>
        <w:tab w:val="right" w:pos="9072"/>
      </w:tabs>
    </w:pPr>
  </w:style>
  <w:style w:type="character" w:customStyle="1" w:styleId="SidfotChar">
    <w:name w:val="Sidfot Char"/>
    <w:basedOn w:val="Standardstycketeckensnitt"/>
    <w:link w:val="Sidfot"/>
    <w:uiPriority w:val="99"/>
    <w:rsid w:val="002E0B9C"/>
    <w:rPr>
      <w:rFonts w:ascii="Times New Roman" w:hAnsi="Times New Roman"/>
      <w:sz w:val="24"/>
    </w:rPr>
  </w:style>
  <w:style w:type="character" w:styleId="Hyperlnk">
    <w:name w:val="Hyperlink"/>
    <w:basedOn w:val="Standardstycketeckensnitt"/>
    <w:uiPriority w:val="99"/>
    <w:unhideWhenUsed/>
    <w:rsid w:val="0072734D"/>
    <w:rPr>
      <w:color w:val="0000FF"/>
      <w:u w:val="single"/>
    </w:rPr>
  </w:style>
  <w:style w:type="character" w:customStyle="1" w:styleId="Rubrik3Char">
    <w:name w:val="Rubrik 3 Char"/>
    <w:basedOn w:val="Standardstycketeckensnitt"/>
    <w:link w:val="Rubrik3"/>
    <w:uiPriority w:val="9"/>
    <w:rsid w:val="008F63B9"/>
    <w:rPr>
      <w:rFonts w:asciiTheme="majorHAnsi" w:eastAsiaTheme="majorEastAsia" w:hAnsiTheme="majorHAnsi" w:cstheme="majorBidi"/>
      <w:color w:val="243F60" w:themeColor="accent1" w:themeShade="7F"/>
      <w:sz w:val="24"/>
      <w:szCs w:val="24"/>
    </w:rPr>
  </w:style>
  <w:style w:type="character" w:styleId="AnvndHyperlnk">
    <w:name w:val="FollowedHyperlink"/>
    <w:basedOn w:val="Standardstycketeckensnitt"/>
    <w:uiPriority w:val="99"/>
    <w:semiHidden/>
    <w:unhideWhenUsed/>
    <w:rsid w:val="00C110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rlanderska.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CBAA3-5416-4074-BC47-93CD91CE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1472</Words>
  <Characters>7804</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Stiftelsen Carlanderska Sjukhuset</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Stridsberg</dc:creator>
  <cp:lastModifiedBy>Therese Stridsberg</cp:lastModifiedBy>
  <cp:revision>25</cp:revision>
  <dcterms:created xsi:type="dcterms:W3CDTF">2026-04-23T09:04:00Z</dcterms:created>
  <dcterms:modified xsi:type="dcterms:W3CDTF">2026-04-28T14:20:00Z</dcterms:modified>
</cp:coreProperties>
</file>